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34BA" w14:textId="77777777" w:rsidR="00F80E8F" w:rsidRPr="00E024F5" w:rsidRDefault="00F80E8F" w:rsidP="00E024F5">
      <w:pPr>
        <w:spacing w:before="240" w:line="276" w:lineRule="auto"/>
        <w:jc w:val="center"/>
        <w:rPr>
          <w:rFonts w:ascii="Arial" w:hAnsi="Arial" w:cs="Arial"/>
          <w:b/>
          <w:bCs/>
          <w:caps/>
          <w:color w:val="000000" w:themeColor="text1"/>
          <w:sz w:val="27"/>
          <w:szCs w:val="27"/>
          <w:lang w:val="en-US"/>
        </w:rPr>
      </w:pPr>
    </w:p>
    <w:p w14:paraId="02FC7EC3" w14:textId="3338B66D" w:rsidR="00F80E8F" w:rsidRPr="00E024F5" w:rsidRDefault="00F80E8F" w:rsidP="00E024F5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>Szanowni Państwo,</w:t>
      </w:r>
    </w:p>
    <w:p w14:paraId="49AF6718" w14:textId="6B0155DD" w:rsidR="00F80E8F" w:rsidRPr="00E024F5" w:rsidRDefault="00F80E8F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Zapraszamy wszystkich zainteresowanych Młodych Profesjonalistów do udziału 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br/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t>kolejnej edycji programu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24F5">
        <w:rPr>
          <w:rFonts w:ascii="Arial" w:hAnsi="Arial" w:cs="Arial"/>
          <w:b/>
          <w:color w:val="000000" w:themeColor="text1"/>
          <w:sz w:val="24"/>
          <w:szCs w:val="24"/>
        </w:rPr>
        <w:t xml:space="preserve">Young Professional Management Training </w:t>
      </w:r>
      <w:proofErr w:type="spellStart"/>
      <w:r w:rsidRPr="00E024F5">
        <w:rPr>
          <w:rFonts w:ascii="Arial" w:hAnsi="Arial" w:cs="Arial"/>
          <w:b/>
          <w:color w:val="000000" w:themeColor="text1"/>
          <w:sz w:val="24"/>
          <w:szCs w:val="24"/>
        </w:rPr>
        <w:t>Programme</w:t>
      </w:r>
      <w:proofErr w:type="spellEnd"/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70D6" w:rsidRPr="00E024F5">
        <w:rPr>
          <w:rFonts w:ascii="Arial" w:hAnsi="Arial" w:cs="Arial"/>
          <w:b/>
          <w:color w:val="000000" w:themeColor="text1"/>
          <w:sz w:val="24"/>
          <w:szCs w:val="24"/>
        </w:rPr>
        <w:t>(YPMTP) 2019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t>organizowanym przez FIDIC!</w:t>
      </w:r>
    </w:p>
    <w:p w14:paraId="05812BA8" w14:textId="7AA7B34B" w:rsidR="00F80E8F" w:rsidRPr="00E024F5" w:rsidRDefault="00F80E8F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6173">
        <w:rPr>
          <w:rFonts w:ascii="Arial" w:hAnsi="Arial" w:cs="Arial"/>
          <w:b/>
          <w:color w:val="000000" w:themeColor="text1"/>
          <w:sz w:val="24"/>
          <w:szCs w:val="24"/>
        </w:rPr>
        <w:t>YPMTP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to intensywny program szkoleniowy w zakresie zarządzania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oparty na studiach przypadków i dyskusjach dotyczących problemów zarządzania 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br/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w międzynarodowym zespole uczestników i mentorów. </w:t>
      </w:r>
    </w:p>
    <w:p w14:paraId="477478D7" w14:textId="2D47F5E6" w:rsidR="00F80E8F" w:rsidRPr="00E024F5" w:rsidRDefault="00F80E8F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Program zapewnia międzynarodowe nawiązywanie kontaktów i aktywny udział 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br/>
      </w:r>
      <w:r w:rsidRPr="00E024F5">
        <w:rPr>
          <w:rFonts w:ascii="Arial" w:hAnsi="Arial" w:cs="Arial"/>
          <w:color w:val="000000" w:themeColor="text1"/>
          <w:sz w:val="24"/>
          <w:szCs w:val="24"/>
        </w:rPr>
        <w:t>w corocznym spotkaniu konferencyjnym FIDIC z kluczowymi przedstawicielami światowej branży konsultingowej.</w:t>
      </w:r>
    </w:p>
    <w:p w14:paraId="30E79F39" w14:textId="77777777" w:rsidR="00FA70D6" w:rsidRPr="00E024F5" w:rsidRDefault="00FA70D6" w:rsidP="00E024F5">
      <w:pPr>
        <w:spacing w:before="24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4B5FF91" w14:textId="46D92E33" w:rsidR="00FA70D6" w:rsidRDefault="00FA70D6" w:rsidP="00E024F5">
      <w:pPr>
        <w:spacing w:before="24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noProof/>
          <w:color w:val="000000" w:themeColor="text1"/>
        </w:rPr>
        <w:drawing>
          <wp:inline distT="0" distB="0" distL="0" distR="0" wp14:anchorId="338A16A3" wp14:editId="543FF695">
            <wp:extent cx="5187600" cy="289080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28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339F" w14:textId="77777777" w:rsidR="00B96173" w:rsidRPr="00E024F5" w:rsidRDefault="00B96173" w:rsidP="00E024F5">
      <w:pPr>
        <w:spacing w:before="24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A96CA13" w14:textId="77777777" w:rsidR="003C02ED" w:rsidRDefault="00FA70D6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Więcej nt. </w:t>
      </w:r>
      <w:r w:rsidRPr="00E024F5">
        <w:rPr>
          <w:rFonts w:ascii="Arial" w:hAnsi="Arial" w:cs="Arial"/>
          <w:b/>
          <w:color w:val="000000" w:themeColor="text1"/>
          <w:sz w:val="24"/>
          <w:szCs w:val="24"/>
        </w:rPr>
        <w:t>YPMTP 2019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BDEBE9" w14:textId="0ADC2583" w:rsidR="00FA70D6" w:rsidRDefault="003C02ED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Pr="00180F95">
          <w:rPr>
            <w:rStyle w:val="Hipercze"/>
            <w:rFonts w:ascii="Arial" w:hAnsi="Arial" w:cs="Arial"/>
            <w:sz w:val="24"/>
            <w:szCs w:val="24"/>
          </w:rPr>
          <w:t>www.ypmtp.org</w:t>
        </w:r>
      </w:hyperlink>
    </w:p>
    <w:p w14:paraId="04C3DFE4" w14:textId="707195EC" w:rsidR="003C02ED" w:rsidRDefault="003C02ED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Zapraszamy!</w:t>
      </w:r>
    </w:p>
    <w:p w14:paraId="2475F92D" w14:textId="479D9E04" w:rsidR="00FA70D6" w:rsidRPr="00E024F5" w:rsidRDefault="00FA70D6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>Grzegorz Piskorz</w:t>
      </w:r>
    </w:p>
    <w:p w14:paraId="695C7455" w14:textId="1B43935F" w:rsidR="00FA70D6" w:rsidRPr="00E024F5" w:rsidRDefault="00FA70D6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Przewodniczący Koła Młodych Profesjonalistów </w:t>
      </w:r>
      <w:proofErr w:type="spellStart"/>
      <w:r w:rsidRPr="00E024F5">
        <w:rPr>
          <w:rFonts w:ascii="Arial" w:hAnsi="Arial" w:cs="Arial"/>
          <w:color w:val="000000" w:themeColor="text1"/>
          <w:sz w:val="24"/>
          <w:szCs w:val="24"/>
        </w:rPr>
        <w:t>SIDiR</w:t>
      </w:r>
      <w:proofErr w:type="spellEnd"/>
    </w:p>
    <w:p w14:paraId="0A795977" w14:textId="1EC546D7" w:rsidR="00FA70D6" w:rsidRPr="00E024F5" w:rsidRDefault="00FA70D6" w:rsidP="00E024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>Stowarzyszenie Inżynierów Doradców i Rzeczoznawców</w:t>
      </w:r>
    </w:p>
    <w:p w14:paraId="12D7B9EF" w14:textId="77777777" w:rsidR="00FA70D6" w:rsidRPr="00E024F5" w:rsidRDefault="00FA70D6" w:rsidP="00E024F5">
      <w:pPr>
        <w:spacing w:before="240" w:line="276" w:lineRule="auto"/>
        <w:jc w:val="center"/>
        <w:rPr>
          <w:rFonts w:ascii="Arial" w:hAnsi="Arial" w:cs="Arial"/>
          <w:b/>
          <w:bCs/>
          <w:caps/>
          <w:color w:val="000000" w:themeColor="text1"/>
          <w:sz w:val="27"/>
          <w:szCs w:val="27"/>
          <w:lang w:val="en-US"/>
        </w:rPr>
      </w:pPr>
    </w:p>
    <w:p w14:paraId="6F7F8473" w14:textId="1133375D" w:rsidR="00F80E8F" w:rsidRPr="00E024F5" w:rsidRDefault="00F80E8F" w:rsidP="00E024F5">
      <w:pPr>
        <w:spacing w:before="240" w:line="276" w:lineRule="auto"/>
        <w:jc w:val="center"/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</w:pPr>
      <w:r w:rsidRPr="00E024F5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  <w:t>FIDIC 2019 Young Professionals Management Training Programme</w:t>
      </w:r>
    </w:p>
    <w:p w14:paraId="385D36C7" w14:textId="77777777" w:rsidR="003C02ED" w:rsidRPr="003C02ED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3C02ED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Program FIDIC YPMT</w:t>
      </w:r>
    </w:p>
    <w:p w14:paraId="10F7573C" w14:textId="197F8C43" w:rsidR="00E900F4" w:rsidRPr="003C02ED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n-US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FIDIC Young </w:t>
      </w:r>
      <w:proofErr w:type="spellStart"/>
      <w:r w:rsidRPr="00E024F5">
        <w:rPr>
          <w:rFonts w:ascii="Arial" w:hAnsi="Arial" w:cs="Arial"/>
          <w:color w:val="000000" w:themeColor="text1"/>
          <w:sz w:val="24"/>
          <w:szCs w:val="24"/>
        </w:rPr>
        <w:t>Professionals</w:t>
      </w:r>
      <w:proofErr w:type="spellEnd"/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Management 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t>to siedmiomiesięczny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kurs zarządzania online dla przyszłych liderów w b</w:t>
      </w:r>
      <w:r w:rsidR="00FA70D6" w:rsidRPr="00E024F5">
        <w:rPr>
          <w:rFonts w:ascii="Arial" w:hAnsi="Arial" w:cs="Arial"/>
          <w:color w:val="000000" w:themeColor="text1"/>
          <w:sz w:val="24"/>
          <w:szCs w:val="24"/>
        </w:rPr>
        <w:t>ranży inżynierii konsultingowej.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br/>
        <w:t>Cykl 7-miesięczny ma dwa główne elementy: część online, w której uczestnicy pracują w biurze lub w domu, wykorzystując platformę online do komunikacji, oraz część konferencyjną, w której wszyscy uczestnicy spotykają się na 5-dniowe intensywne szkolenie bezpośrednie i mentoring przed doroczna konferencja FIDIC we wrześniu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 xml:space="preserve"> br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>. Kurs oparty jest na zasadach FIDIC i standardach dokumentów.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br/>
        <w:t>Podręcznikiem referencyjnym je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 xml:space="preserve">st Przewodnik po praktyce FIDIC. 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>Elektroniczna kopia książki jest dostarczana uczestnikom wraz z innymi dokumentami związanymi z FIDIC.</w:t>
      </w:r>
    </w:p>
    <w:p w14:paraId="1E47F108" w14:textId="77777777" w:rsidR="003C02ED" w:rsidRDefault="00E024F5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Certyfikaty</w:t>
      </w:r>
    </w:p>
    <w:p w14:paraId="22A7673E" w14:textId="1F3062B8" w:rsidR="00E024F5" w:rsidRPr="003C02ED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Aby uzyskać certyfikat ukończenia, uczestnik 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>musi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uczestniczyć w 5 sesjach lekcyjnych i odpowie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>dzieć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na piśmi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 xml:space="preserve">e na wszystkie pytania zadawane przed sesją. 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>Certyfikat uczestnictwa wymaga ud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 xml:space="preserve">ziału w 50% wszystkich działań. </w:t>
      </w:r>
    </w:p>
    <w:p w14:paraId="4E078C19" w14:textId="4DAA2DC1" w:rsidR="00E900F4" w:rsidRPr="00E024F5" w:rsidRDefault="00E900F4" w:rsidP="00E024F5">
      <w:pPr>
        <w:spacing w:before="240" w:line="276" w:lineRule="auto"/>
        <w:jc w:val="both"/>
        <w:rPr>
          <w:rFonts w:ascii="&amp;quot" w:hAnsi="&amp;quot"/>
          <w:color w:val="000000" w:themeColor="text1"/>
          <w:sz w:val="27"/>
          <w:szCs w:val="27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>YPMTP oferuje opcjonalny egzamin w oparciu o kurs i przewodnik po praktyce FIDIC. Egzamin odbędzie się w związku z udziałem w szkoleniach pop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 xml:space="preserve">rzedzających konferencję FIDIC. 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Uzyskany certyfikat umożliwi 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>uczestnikom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zademonstrowanie swoich osiągnięć w związku z uzyskiwaniem profesjonalnych jednostek rozwoju oraz utrzymywanie certyfikatów i referencji 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 xml:space="preserve">w oparciu o ich udział w YPMTP. 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>Opłata rejestracyjna obejmuje udział w kursie, odpowiednie dokumenty FIDIC w wersji elektronicznej oraz rejestrację konferencji FIDIC.</w:t>
      </w:r>
    </w:p>
    <w:p w14:paraId="70837D27" w14:textId="640067BB" w:rsidR="00E024F5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Sesja </w:t>
      </w:r>
      <w:r w:rsidR="003C02ED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konferencyjna</w:t>
      </w:r>
    </w:p>
    <w:p w14:paraId="0AFF0FFB" w14:textId="44E3C182" w:rsidR="00E900F4" w:rsidRPr="00E024F5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Ostateczna 5-dniowa sesja obejmuje dalsze wykłady i dyskusje z mentorami i wśród </w:t>
      </w:r>
      <w:proofErr w:type="spellStart"/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>uszestników</w:t>
      </w:r>
      <w:proofErr w:type="spellEnd"/>
      <w:r w:rsidRPr="00E024F5">
        <w:rPr>
          <w:rFonts w:ascii="Arial" w:hAnsi="Arial" w:cs="Arial"/>
          <w:color w:val="000000" w:themeColor="text1"/>
          <w:sz w:val="24"/>
          <w:szCs w:val="24"/>
        </w:rPr>
        <w:t>. Wymiana międzykulturowa w oparciu o około 30 narodowości spotykających się i reprezentujących różne podejścia do omawianych problemów zarządzania. Ważnym elementem jest tworzenie sieci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 xml:space="preserve"> kontaktów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>, która będzie podstawą przyszłej międzynarodowej współpracy jako konsultanci. Ostatecznym zadaniem jest prezentacja na konferencji FIDIC zespołów postrzegających swoje wyzwania jako przyszłych liderów w branży konsultingowej. Pięciodniowa sesja odbędzie się w Mexico City od 3 do 7 września 2019 r. Konferencja FIDIC w 2019 r. Odbędzie się w Mexico City od 8 do 10 września 2019 r.</w:t>
      </w:r>
    </w:p>
    <w:p w14:paraId="494001AD" w14:textId="7E984AB2" w:rsidR="00E900F4" w:rsidRDefault="00E900F4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</w:p>
    <w:p w14:paraId="33767FBB" w14:textId="77777777" w:rsidR="003C02ED" w:rsidRPr="00E024F5" w:rsidRDefault="003C02ED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</w:p>
    <w:p w14:paraId="72B57BD6" w14:textId="546D556B" w:rsidR="00E024F5" w:rsidRDefault="00E900F4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  <w:r w:rsidRPr="00E024F5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Międzynarodowa sieć</w:t>
      </w:r>
      <w:r w:rsidR="003C02ED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kontaktów</w:t>
      </w:r>
    </w:p>
    <w:p w14:paraId="3D625FD1" w14:textId="7202DBC1" w:rsidR="00E900F4" w:rsidRPr="00E024F5" w:rsidRDefault="00E900F4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W kursie wzięło udział prawie 60 krajów, które nawiązały współpracę z </w:t>
      </w:r>
      <w:r w:rsidRPr="003C02ED">
        <w:rPr>
          <w:rFonts w:ascii="Arial" w:hAnsi="Arial" w:cs="Arial"/>
          <w:b/>
          <w:color w:val="000000" w:themeColor="text1"/>
          <w:sz w:val="24"/>
          <w:szCs w:val="24"/>
        </w:rPr>
        <w:t xml:space="preserve">FIDIC Young </w:t>
      </w:r>
      <w:proofErr w:type="spellStart"/>
      <w:r w:rsidRPr="003C02ED">
        <w:rPr>
          <w:rFonts w:ascii="Arial" w:hAnsi="Arial" w:cs="Arial"/>
          <w:b/>
          <w:color w:val="000000" w:themeColor="text1"/>
          <w:sz w:val="24"/>
          <w:szCs w:val="24"/>
        </w:rPr>
        <w:t>Professionals</w:t>
      </w:r>
      <w:proofErr w:type="spellEnd"/>
      <w:r w:rsidRPr="003C02ED">
        <w:rPr>
          <w:rFonts w:ascii="Arial" w:hAnsi="Arial" w:cs="Arial"/>
          <w:b/>
          <w:color w:val="000000" w:themeColor="text1"/>
          <w:sz w:val="24"/>
          <w:szCs w:val="24"/>
        </w:rPr>
        <w:t xml:space="preserve"> Forum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9C80AA" w14:textId="77777777" w:rsidR="003C02ED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Egzamin fakultatywny</w:t>
      </w:r>
    </w:p>
    <w:p w14:paraId="514F11A0" w14:textId="0172D147" w:rsidR="00E900F4" w:rsidRPr="00E024F5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3C02ED">
        <w:rPr>
          <w:rFonts w:ascii="Arial" w:hAnsi="Arial" w:cs="Arial"/>
          <w:b/>
          <w:color w:val="000000" w:themeColor="text1"/>
          <w:sz w:val="24"/>
          <w:szCs w:val="24"/>
        </w:rPr>
        <w:t>YPMTP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oferuje opcjonalny egzamin oparty na teście wielokrotnego wyboru. Zaliczenie egzaminu zapewni świadectwo umożliwiające ubieganie się o punkty edukacyjne </w:t>
      </w:r>
      <w:r w:rsidR="003C02ED">
        <w:rPr>
          <w:rFonts w:ascii="Arial" w:hAnsi="Arial" w:cs="Arial"/>
          <w:color w:val="000000" w:themeColor="text1"/>
          <w:sz w:val="24"/>
          <w:szCs w:val="24"/>
        </w:rPr>
        <w:br/>
      </w:r>
      <w:r w:rsidRPr="00E024F5">
        <w:rPr>
          <w:rFonts w:ascii="Arial" w:hAnsi="Arial" w:cs="Arial"/>
          <w:color w:val="000000" w:themeColor="text1"/>
          <w:sz w:val="24"/>
          <w:szCs w:val="24"/>
        </w:rPr>
        <w:t>w związku z wymaganą profesjonalną akredytacją.</w:t>
      </w:r>
    </w:p>
    <w:p w14:paraId="6793C218" w14:textId="77777777" w:rsidR="003C02ED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Na podstawie 3 modułów przypadku</w:t>
      </w:r>
    </w:p>
    <w:p w14:paraId="03F01169" w14:textId="65D6414B" w:rsidR="00E900F4" w:rsidRPr="003C02ED" w:rsidRDefault="00E900F4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Program oparty jest na rzeczywistych przypadkach. Dla każdego przypadku wyznacza się mentora. </w:t>
      </w:r>
      <w:r w:rsidR="00E024F5" w:rsidRPr="00E024F5">
        <w:rPr>
          <w:rFonts w:ascii="Arial" w:hAnsi="Arial" w:cs="Arial"/>
          <w:color w:val="000000" w:themeColor="text1"/>
          <w:sz w:val="24"/>
          <w:szCs w:val="24"/>
        </w:rPr>
        <w:t>Kurs</w:t>
      </w:r>
      <w:r w:rsidRPr="00E024F5">
        <w:rPr>
          <w:rFonts w:ascii="Arial" w:hAnsi="Arial" w:cs="Arial"/>
          <w:color w:val="000000" w:themeColor="text1"/>
          <w:sz w:val="24"/>
          <w:szCs w:val="24"/>
        </w:rPr>
        <w:t xml:space="preserve"> odbywa się w ciągu siedmiu miesięcy okresu nauczania i szkolenia. Uczestnicy spotykają się z mentorami w miejscu dorocznej konferencji FIDIC, przez 5 dni kolejnych wykładów i dyskusji, których kulminacją jest przygotowanie ich prezentacji plenarnej podczas warsztatów "</w:t>
      </w:r>
      <w:proofErr w:type="spellStart"/>
      <w:r w:rsidR="00E024F5" w:rsidRPr="00E024F5">
        <w:rPr>
          <w:rFonts w:ascii="Arial" w:hAnsi="Arial" w:cs="Arial"/>
          <w:b/>
          <w:color w:val="000000" w:themeColor="text1"/>
          <w:sz w:val="24"/>
          <w:szCs w:val="24"/>
        </w:rPr>
        <w:t>Future</w:t>
      </w:r>
      <w:proofErr w:type="spellEnd"/>
      <w:r w:rsidR="00E024F5" w:rsidRPr="00E024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024F5" w:rsidRPr="00E024F5">
        <w:rPr>
          <w:rFonts w:ascii="Arial" w:hAnsi="Arial" w:cs="Arial"/>
          <w:b/>
          <w:color w:val="000000" w:themeColor="text1"/>
          <w:sz w:val="24"/>
          <w:szCs w:val="24"/>
        </w:rPr>
        <w:t>Leaders</w:t>
      </w:r>
      <w:proofErr w:type="spellEnd"/>
      <w:r w:rsidRPr="00E024F5">
        <w:rPr>
          <w:rFonts w:ascii="Arial" w:hAnsi="Arial" w:cs="Arial"/>
          <w:color w:val="000000" w:themeColor="text1"/>
          <w:sz w:val="24"/>
          <w:szCs w:val="24"/>
        </w:rPr>
        <w:t>".</w:t>
      </w:r>
    </w:p>
    <w:p w14:paraId="47B12374" w14:textId="77777777" w:rsidR="003C02ED" w:rsidRPr="00E024F5" w:rsidRDefault="003C02ED" w:rsidP="00E024F5">
      <w:pPr>
        <w:spacing w:before="240"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02ED" w14:paraId="65C10DDA" w14:textId="77777777" w:rsidTr="003C02ED">
        <w:tc>
          <w:tcPr>
            <w:tcW w:w="3020" w:type="dxa"/>
            <w:vAlign w:val="center"/>
          </w:tcPr>
          <w:p w14:paraId="0C176598" w14:textId="7D00D659" w:rsidR="003C02ED" w:rsidRPr="001E0FA1" w:rsidRDefault="003C02ED" w:rsidP="003C02ED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1E0FA1"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  <w:t>Moduł 1</w:t>
            </w:r>
          </w:p>
        </w:tc>
        <w:tc>
          <w:tcPr>
            <w:tcW w:w="3021" w:type="dxa"/>
            <w:vAlign w:val="center"/>
          </w:tcPr>
          <w:p w14:paraId="78A14192" w14:textId="6A1A0123" w:rsidR="003C02ED" w:rsidRPr="001E0FA1" w:rsidRDefault="003C02ED" w:rsidP="003C02ED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1E0FA1"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  <w:t>Moduł 2</w:t>
            </w:r>
          </w:p>
        </w:tc>
        <w:tc>
          <w:tcPr>
            <w:tcW w:w="3021" w:type="dxa"/>
            <w:vAlign w:val="center"/>
          </w:tcPr>
          <w:p w14:paraId="5D5D7792" w14:textId="7A05CC2F" w:rsidR="003C02ED" w:rsidRPr="001E0FA1" w:rsidRDefault="003C02ED" w:rsidP="003C02ED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1E0FA1"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  <w:t>Moduł 3</w:t>
            </w:r>
          </w:p>
        </w:tc>
      </w:tr>
      <w:tr w:rsidR="001E0FA1" w14:paraId="234FF0FF" w14:textId="77777777" w:rsidTr="003C02ED">
        <w:tc>
          <w:tcPr>
            <w:tcW w:w="3020" w:type="dxa"/>
            <w:vAlign w:val="center"/>
          </w:tcPr>
          <w:p w14:paraId="71F266E1" w14:textId="11120B7A" w:rsidR="001E0FA1" w:rsidRPr="003C02ED" w:rsidRDefault="001E0FA1" w:rsidP="003C02ED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Organizacja i zasoby ludzkie</w:t>
            </w:r>
          </w:p>
        </w:tc>
        <w:tc>
          <w:tcPr>
            <w:tcW w:w="3021" w:type="dxa"/>
            <w:vAlign w:val="center"/>
          </w:tcPr>
          <w:p w14:paraId="7B61BE85" w14:textId="659C7C24" w:rsidR="001E0FA1" w:rsidRPr="003C02ED" w:rsidRDefault="001E0FA1" w:rsidP="003C02ED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t>Marketing i rozwój biznesu</w:t>
            </w:r>
          </w:p>
        </w:tc>
        <w:tc>
          <w:tcPr>
            <w:tcW w:w="3021" w:type="dxa"/>
            <w:vAlign w:val="center"/>
          </w:tcPr>
          <w:p w14:paraId="6FD6ED06" w14:textId="62429865" w:rsidR="001E0FA1" w:rsidRPr="003C02ED" w:rsidRDefault="001E0FA1" w:rsidP="003C02ED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t>Konsolidacja biznesu</w:t>
            </w:r>
          </w:p>
        </w:tc>
      </w:tr>
      <w:tr w:rsidR="003C02ED" w14:paraId="0BBCEF42" w14:textId="77777777" w:rsidTr="003C02ED">
        <w:tc>
          <w:tcPr>
            <w:tcW w:w="3020" w:type="dxa"/>
          </w:tcPr>
          <w:p w14:paraId="4EEF4673" w14:textId="1A830119" w:rsidR="003C02ED" w:rsidRPr="003C02ED" w:rsidRDefault="003C02ED" w:rsidP="003C02ED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Zakładanie firmy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Rozwijanie firmy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Fuzji i przejęć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Struktury własnościowe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Przyciąganie personelu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Zasady zarządzania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Przywództwo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Inteligencja emocjonalna</w:t>
            </w:r>
          </w:p>
          <w:p w14:paraId="6377C877" w14:textId="77777777" w:rsidR="003C02ED" w:rsidRDefault="003C02ED" w:rsidP="003C02ED">
            <w:pPr>
              <w:spacing w:before="240" w:line="276" w:lineRule="auto"/>
              <w:rPr>
                <w:rFonts w:ascii="&amp;quot" w:hAnsi="&amp;quot"/>
                <w:color w:val="000000" w:themeColor="text1"/>
                <w:sz w:val="27"/>
                <w:szCs w:val="27"/>
              </w:rPr>
            </w:pPr>
          </w:p>
        </w:tc>
        <w:tc>
          <w:tcPr>
            <w:tcW w:w="3021" w:type="dxa"/>
          </w:tcPr>
          <w:p w14:paraId="0552745F" w14:textId="5D8D8DBA" w:rsidR="003C02ED" w:rsidRDefault="003C02ED" w:rsidP="003C02ED">
            <w:pPr>
              <w:spacing w:before="240" w:line="276" w:lineRule="auto"/>
              <w:rPr>
                <w:rFonts w:ascii="&amp;quot" w:hAnsi="&amp;quot"/>
                <w:color w:val="000000" w:themeColor="text1"/>
                <w:sz w:val="27"/>
                <w:szCs w:val="27"/>
              </w:rPr>
            </w:pP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Marketing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Rozwój projektu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Networking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Relacja z klientem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t>i komunikacja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Zarządzanie finansami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Zarządzanie ryzykiem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Zarządzanie jakością</w:t>
            </w:r>
          </w:p>
        </w:tc>
        <w:tc>
          <w:tcPr>
            <w:tcW w:w="3021" w:type="dxa"/>
          </w:tcPr>
          <w:p w14:paraId="47470CA5" w14:textId="58F22BF7" w:rsidR="003C02ED" w:rsidRDefault="003C02ED" w:rsidP="003C02ED">
            <w:pPr>
              <w:spacing w:before="240" w:line="276" w:lineRule="auto"/>
              <w:rPr>
                <w:rFonts w:ascii="&amp;quot" w:hAnsi="&amp;quot"/>
                <w:color w:val="000000" w:themeColor="text1"/>
                <w:sz w:val="27"/>
                <w:szCs w:val="27"/>
              </w:rPr>
            </w:pP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Zrównoważony rozwój</w:t>
            </w:r>
            <w:r w:rsidRPr="003C02ED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Zarządzanie integralnością biznesową</w:t>
            </w:r>
          </w:p>
        </w:tc>
      </w:tr>
    </w:tbl>
    <w:p w14:paraId="4AFB7F22" w14:textId="2D4920CE" w:rsidR="00E900F4" w:rsidRPr="00E024F5" w:rsidRDefault="00E900F4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</w:p>
    <w:p w14:paraId="6ADD511F" w14:textId="078CDB47" w:rsidR="00E900F4" w:rsidRDefault="00E900F4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</w:p>
    <w:p w14:paraId="41C4F28F" w14:textId="1900B4E1" w:rsidR="003C02ED" w:rsidRDefault="003C02ED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</w:p>
    <w:p w14:paraId="4B27DB47" w14:textId="53140DD4" w:rsidR="003C02ED" w:rsidRDefault="003C02ED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</w:p>
    <w:p w14:paraId="4AEA8D27" w14:textId="2ECDDE78" w:rsidR="00E900F4" w:rsidRDefault="00E900F4" w:rsidP="003C02ED">
      <w:pPr>
        <w:spacing w:before="240" w:line="276" w:lineRule="auto"/>
        <w:jc w:val="center"/>
        <w:rPr>
          <w:rFonts w:ascii="Arial" w:hAnsi="Arial" w:cs="Arial"/>
          <w:b/>
          <w:bCs/>
          <w:caps/>
          <w:color w:val="000000" w:themeColor="text1"/>
          <w:sz w:val="25"/>
          <w:szCs w:val="25"/>
          <w:lang w:val="en-US"/>
        </w:rPr>
      </w:pPr>
      <w:r w:rsidRPr="00E024F5">
        <w:rPr>
          <w:rFonts w:ascii="Arial" w:hAnsi="Arial" w:cs="Arial"/>
          <w:b/>
          <w:bCs/>
          <w:caps/>
          <w:color w:val="000000" w:themeColor="text1"/>
          <w:sz w:val="25"/>
          <w:szCs w:val="25"/>
          <w:lang w:val="en-US"/>
        </w:rPr>
        <w:t>Patrick Dinno Testimonial: scholarship winner 2018 YPMTP</w:t>
      </w:r>
    </w:p>
    <w:p w14:paraId="2ADC78E3" w14:textId="77777777" w:rsidR="001E0FA1" w:rsidRPr="00E024F5" w:rsidRDefault="001E0FA1" w:rsidP="003C02ED">
      <w:pPr>
        <w:spacing w:before="240" w:line="276" w:lineRule="auto"/>
        <w:jc w:val="center"/>
        <w:rPr>
          <w:rFonts w:ascii="Arial" w:hAnsi="Arial" w:cs="Arial"/>
          <w:b/>
          <w:bCs/>
          <w:caps/>
          <w:color w:val="000000" w:themeColor="text1"/>
          <w:sz w:val="25"/>
          <w:szCs w:val="25"/>
          <w:lang w:val="en-US"/>
        </w:rPr>
      </w:pPr>
      <w:bookmarkStart w:id="0" w:name="_GoBack"/>
      <w:bookmarkEnd w:id="0"/>
    </w:p>
    <w:p w14:paraId="419F51B7" w14:textId="74FBC01D" w:rsidR="00E900F4" w:rsidRPr="003C02ED" w:rsidRDefault="003C02ED" w:rsidP="003C02ED">
      <w:pPr>
        <w:spacing w:before="240"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024F5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04BAA78" wp14:editId="7F82DF9D">
            <wp:simplePos x="0" y="0"/>
            <wp:positionH relativeFrom="column">
              <wp:posOffset>75565</wp:posOffset>
            </wp:positionH>
            <wp:positionV relativeFrom="paragraph">
              <wp:posOffset>58420</wp:posOffset>
            </wp:positionV>
            <wp:extent cx="1317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46" y="21265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000000" w:themeColor="text1"/>
          <w:sz w:val="24"/>
          <w:szCs w:val="24"/>
        </w:rPr>
        <w:t>„</w:t>
      </w:r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 xml:space="preserve">YPMTP 2018 i konferencja FIDIC </w:t>
      </w:r>
      <w:proofErr w:type="spellStart"/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>Infrastructure</w:t>
      </w:r>
      <w:proofErr w:type="spellEnd"/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 xml:space="preserve"> Conference </w:t>
      </w:r>
      <w:r w:rsidR="00B96173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 xml:space="preserve">w Berlinie zapewniły mi platformę do nawiązywania kontaktów </w:t>
      </w:r>
      <w:r w:rsidR="00B96173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 xml:space="preserve">z osobami o podobnych wyobrażeniach na całym świecie.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 xml:space="preserve"> ile mamy zróżnicowane kulturowe pochodzenie, dzielimy te same wyzwania, choć w różnym stopniu. ... Bazując na moich doświadczeniach z YPMTP 2018, polecam ten kurs wszystkim młodym profesjonalistom z branży inżynierii konsultingowej, </w:t>
      </w:r>
      <w:r w:rsidR="00B96173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 xml:space="preserve">a także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zachęcam</w:t>
      </w:r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 xml:space="preserve"> pracodawców do inwestowania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w szkolenie swoich pracowników.</w:t>
      </w:r>
      <w:r w:rsidR="00E900F4" w:rsidRPr="003C02ED">
        <w:rPr>
          <w:rFonts w:ascii="Arial" w:hAnsi="Arial" w:cs="Arial"/>
          <w:i/>
          <w:color w:val="000000" w:themeColor="text1"/>
          <w:sz w:val="24"/>
          <w:szCs w:val="24"/>
        </w:rPr>
        <w:t>"</w:t>
      </w:r>
    </w:p>
    <w:p w14:paraId="46CE9DA7" w14:textId="77777777" w:rsidR="00B96173" w:rsidRDefault="003C02ED" w:rsidP="00E024F5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6173">
        <w:rPr>
          <w:rFonts w:ascii="Arial" w:hAnsi="Arial" w:cs="Arial"/>
          <w:color w:val="000000" w:themeColor="text1"/>
          <w:sz w:val="24"/>
          <w:szCs w:val="24"/>
        </w:rPr>
        <w:t>Czytaj więcej:</w:t>
      </w:r>
    </w:p>
    <w:p w14:paraId="217F432B" w14:textId="07865098" w:rsidR="00E900F4" w:rsidRPr="00B96173" w:rsidRDefault="003C02ED" w:rsidP="00E024F5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Pr="00B96173">
          <w:rPr>
            <w:rStyle w:val="Hipercze"/>
            <w:rFonts w:ascii="Arial" w:hAnsi="Arial" w:cs="Arial"/>
            <w:sz w:val="24"/>
            <w:szCs w:val="24"/>
          </w:rPr>
          <w:t>http://fidic.org/sites/default/files/Patrick_Dinno_feedback_YPMTP%202018.pdf</w:t>
        </w:r>
      </w:hyperlink>
    </w:p>
    <w:p w14:paraId="3DE76FDD" w14:textId="1CA0E107" w:rsidR="003C02ED" w:rsidRPr="00B96173" w:rsidRDefault="003C02ED" w:rsidP="00E024F5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6173">
        <w:rPr>
          <w:rFonts w:ascii="Arial" w:hAnsi="Arial" w:cs="Arial"/>
          <w:color w:val="000000" w:themeColor="text1"/>
          <w:sz w:val="24"/>
          <w:szCs w:val="24"/>
        </w:rPr>
        <w:t>Link:</w:t>
      </w:r>
    </w:p>
    <w:p w14:paraId="233A1F79" w14:textId="77777777" w:rsidR="003C02ED" w:rsidRPr="00B96173" w:rsidRDefault="003C02ED" w:rsidP="003C02ED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Pr="00B96173">
          <w:rPr>
            <w:rStyle w:val="Hipercze"/>
            <w:rFonts w:ascii="Arial" w:hAnsi="Arial" w:cs="Arial"/>
            <w:sz w:val="24"/>
            <w:szCs w:val="24"/>
          </w:rPr>
          <w:t>www.ypmtp.org</w:t>
        </w:r>
      </w:hyperlink>
    </w:p>
    <w:p w14:paraId="7B82A58F" w14:textId="2529AB2F" w:rsidR="003C02ED" w:rsidRPr="00B96173" w:rsidRDefault="003C02ED" w:rsidP="00E024F5">
      <w:pPr>
        <w:spacing w:before="240" w:line="276" w:lineRule="auto"/>
        <w:rPr>
          <w:rStyle w:val="Hipercze"/>
          <w:rFonts w:ascii="Arial" w:hAnsi="Arial" w:cs="Arial"/>
          <w:sz w:val="24"/>
          <w:szCs w:val="24"/>
        </w:rPr>
      </w:pPr>
      <w:hyperlink r:id="rId11" w:history="1">
        <w:r w:rsidRPr="00B96173">
          <w:rPr>
            <w:rStyle w:val="Hipercze"/>
            <w:rFonts w:ascii="Arial" w:hAnsi="Arial" w:cs="Arial"/>
            <w:sz w:val="24"/>
            <w:szCs w:val="24"/>
          </w:rPr>
          <w:t>http://fidic.org/ypmtp2019</w:t>
        </w:r>
      </w:hyperlink>
    </w:p>
    <w:p w14:paraId="64F8ADF8" w14:textId="1B2D3FAA" w:rsidR="003C02ED" w:rsidRPr="00B96173" w:rsidRDefault="003C02ED" w:rsidP="00E024F5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Pr="00B96173">
          <w:rPr>
            <w:rStyle w:val="Hipercze"/>
            <w:rFonts w:ascii="Arial" w:hAnsi="Arial" w:cs="Arial"/>
            <w:sz w:val="24"/>
            <w:szCs w:val="24"/>
          </w:rPr>
          <w:t>http://fidic.org/events/young-professionals-management-training-programme</w:t>
        </w:r>
      </w:hyperlink>
    </w:p>
    <w:p w14:paraId="417716FF" w14:textId="6D5084F5" w:rsidR="003C02ED" w:rsidRPr="00B96173" w:rsidRDefault="00B96173" w:rsidP="00E024F5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Pr="00B96173">
          <w:rPr>
            <w:rStyle w:val="Hipercze"/>
            <w:rFonts w:ascii="Arial" w:hAnsi="Arial" w:cs="Arial"/>
            <w:sz w:val="24"/>
            <w:szCs w:val="24"/>
          </w:rPr>
          <w:t>www.sidir.pl</w:t>
        </w:r>
      </w:hyperlink>
    </w:p>
    <w:p w14:paraId="351CECBC" w14:textId="77777777" w:rsidR="00B96173" w:rsidRPr="00E024F5" w:rsidRDefault="00B96173" w:rsidP="00E024F5">
      <w:pPr>
        <w:spacing w:before="240" w:line="276" w:lineRule="auto"/>
        <w:rPr>
          <w:rFonts w:ascii="&amp;quot" w:hAnsi="&amp;quot"/>
          <w:color w:val="000000" w:themeColor="text1"/>
          <w:sz w:val="27"/>
          <w:szCs w:val="27"/>
        </w:rPr>
      </w:pPr>
    </w:p>
    <w:p w14:paraId="56BC8644" w14:textId="77777777" w:rsidR="00E900F4" w:rsidRPr="003C02ED" w:rsidRDefault="00E900F4" w:rsidP="00E024F5">
      <w:pPr>
        <w:spacing w:before="240" w:line="276" w:lineRule="auto"/>
        <w:rPr>
          <w:color w:val="000000" w:themeColor="text1"/>
        </w:rPr>
      </w:pPr>
    </w:p>
    <w:sectPr w:rsidR="00E900F4" w:rsidRPr="003C02E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291A" w14:textId="77777777" w:rsidR="00B0698E" w:rsidRDefault="00B0698E" w:rsidP="00F80E8F">
      <w:pPr>
        <w:spacing w:after="0" w:line="240" w:lineRule="auto"/>
      </w:pPr>
      <w:r>
        <w:separator/>
      </w:r>
    </w:p>
  </w:endnote>
  <w:endnote w:type="continuationSeparator" w:id="0">
    <w:p w14:paraId="5ECE3E78" w14:textId="77777777" w:rsidR="00B0698E" w:rsidRDefault="00B0698E" w:rsidP="00F8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48BB" w14:textId="77777777" w:rsidR="00B0698E" w:rsidRDefault="00B0698E" w:rsidP="00F80E8F">
      <w:pPr>
        <w:spacing w:after="0" w:line="240" w:lineRule="auto"/>
      </w:pPr>
      <w:r>
        <w:separator/>
      </w:r>
    </w:p>
  </w:footnote>
  <w:footnote w:type="continuationSeparator" w:id="0">
    <w:p w14:paraId="455BA2FC" w14:textId="77777777" w:rsidR="00B0698E" w:rsidRDefault="00B0698E" w:rsidP="00F8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55E5" w14:textId="7CC710E9" w:rsidR="00F80E8F" w:rsidRPr="00F80E8F" w:rsidRDefault="00F80E8F" w:rsidP="00F80E8F">
    <w:pPr>
      <w:pStyle w:val="Nagwek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13917D2F" wp14:editId="7BE0A3C4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539750" cy="539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dir_czerwone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1F4C792" wp14:editId="3E58E9CA">
          <wp:simplePos x="0" y="0"/>
          <wp:positionH relativeFrom="margin">
            <wp:posOffset>-635</wp:posOffset>
          </wp:positionH>
          <wp:positionV relativeFrom="paragraph">
            <wp:posOffset>-91440</wp:posOffset>
          </wp:positionV>
          <wp:extent cx="532765" cy="53975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DIC_logo_Reflex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E8F">
      <w:rPr>
        <w:sz w:val="32"/>
      </w:rPr>
      <w:t>Ogłoszenie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1C"/>
    <w:rsid w:val="001E0FA1"/>
    <w:rsid w:val="002A24BD"/>
    <w:rsid w:val="003C02ED"/>
    <w:rsid w:val="00A57512"/>
    <w:rsid w:val="00B0698E"/>
    <w:rsid w:val="00B96173"/>
    <w:rsid w:val="00E024F5"/>
    <w:rsid w:val="00E900F4"/>
    <w:rsid w:val="00F6421C"/>
    <w:rsid w:val="00F80E8F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1CE3B"/>
  <w15:chartTrackingRefBased/>
  <w15:docId w15:val="{18F845F8-10E4-42D0-92A1-EE76E3E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8F"/>
  </w:style>
  <w:style w:type="paragraph" w:styleId="Stopka">
    <w:name w:val="footer"/>
    <w:basedOn w:val="Normalny"/>
    <w:link w:val="StopkaZnak"/>
    <w:uiPriority w:val="99"/>
    <w:unhideWhenUsed/>
    <w:rsid w:val="00F8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8F"/>
  </w:style>
  <w:style w:type="character" w:styleId="Hipercze">
    <w:name w:val="Hyperlink"/>
    <w:basedOn w:val="Domylnaczcionkaakapitu"/>
    <w:uiPriority w:val="99"/>
    <w:unhideWhenUsed/>
    <w:rsid w:val="00F80E8F"/>
    <w:rPr>
      <w:color w:val="0000FF"/>
      <w:u w:val="single"/>
    </w:rPr>
  </w:style>
  <w:style w:type="table" w:styleId="Tabela-Siatka">
    <w:name w:val="Table Grid"/>
    <w:basedOn w:val="Standardowy"/>
    <w:uiPriority w:val="39"/>
    <w:rsid w:val="003C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C02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019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idi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pmtp.org" TargetMode="External"/><Relationship Id="rId12" Type="http://schemas.openxmlformats.org/officeDocument/2006/relationships/hyperlink" Target="http://fidic.org/events/young-professionals-management-training-program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idic.org/ypmtp201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ypmt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dic.org/sites/default/files/Patrick_Dinno_feedback_YPMTP%20201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Piskorz</dc:creator>
  <cp:keywords/>
  <dc:description/>
  <cp:lastModifiedBy>Grzegorz Piskorz</cp:lastModifiedBy>
  <cp:revision>4</cp:revision>
  <dcterms:created xsi:type="dcterms:W3CDTF">2019-01-15T08:39:00Z</dcterms:created>
  <dcterms:modified xsi:type="dcterms:W3CDTF">2019-01-15T10:40:00Z</dcterms:modified>
</cp:coreProperties>
</file>