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3E" w:rsidRDefault="006D2222" w:rsidP="0089712B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6D2222">
        <w:rPr>
          <w:rFonts w:ascii="Verdana" w:hAnsi="Verdana"/>
          <w:b/>
          <w:sz w:val="24"/>
          <w:szCs w:val="24"/>
        </w:rPr>
        <w:t xml:space="preserve">Stanowisko </w:t>
      </w:r>
      <w:r w:rsidR="008715D5">
        <w:rPr>
          <w:rFonts w:ascii="Verdana" w:hAnsi="Verdana"/>
          <w:b/>
          <w:sz w:val="24"/>
          <w:szCs w:val="24"/>
        </w:rPr>
        <w:t>nr 2</w:t>
      </w:r>
    </w:p>
    <w:p w:rsidR="00C97380" w:rsidRPr="006D2222" w:rsidRDefault="006D2222" w:rsidP="0089712B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6D2222">
        <w:rPr>
          <w:rFonts w:ascii="Verdana" w:hAnsi="Verdana"/>
          <w:b/>
          <w:sz w:val="24"/>
          <w:szCs w:val="24"/>
        </w:rPr>
        <w:t xml:space="preserve">członków </w:t>
      </w:r>
      <w:r w:rsidR="00C97380" w:rsidRPr="006D2222">
        <w:rPr>
          <w:rFonts w:ascii="Verdana" w:hAnsi="Verdana"/>
          <w:b/>
          <w:sz w:val="24"/>
          <w:szCs w:val="24"/>
        </w:rPr>
        <w:t>Grupy roboczej ds. Prawa zamówień publicznych</w:t>
      </w:r>
      <w:r>
        <w:rPr>
          <w:rFonts w:ascii="Verdana" w:hAnsi="Verdana"/>
          <w:b/>
          <w:sz w:val="24"/>
          <w:szCs w:val="24"/>
        </w:rPr>
        <w:t xml:space="preserve"> w zakresie uwag do projektu nowelizacji </w:t>
      </w:r>
      <w:r w:rsidR="002E503E">
        <w:rPr>
          <w:rFonts w:ascii="Verdana" w:hAnsi="Verdana"/>
          <w:b/>
          <w:sz w:val="24"/>
          <w:szCs w:val="24"/>
        </w:rPr>
        <w:t>o charakterze priorytetowym</w:t>
      </w:r>
      <w:r w:rsidR="00337612">
        <w:rPr>
          <w:rFonts w:ascii="Verdana" w:hAnsi="Verdana"/>
          <w:b/>
          <w:sz w:val="24"/>
          <w:szCs w:val="24"/>
        </w:rPr>
        <w:t xml:space="preserve"> – wersja z dnia 24.02.2016 r.</w:t>
      </w:r>
    </w:p>
    <w:p w:rsidR="00E52EDF" w:rsidRDefault="00E52EDF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842BAB" w:rsidRDefault="002E503E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Przedmiotem </w:t>
      </w:r>
      <w:r w:rsidR="00AF32A1" w:rsidRPr="00AF32A1">
        <w:rPr>
          <w:rFonts w:ascii="Verdana" w:hAnsi="Verdana"/>
          <w:i/>
          <w:sz w:val="20"/>
          <w:szCs w:val="20"/>
        </w:rPr>
        <w:t>Stanowiska nr 2</w:t>
      </w:r>
      <w:r w:rsidRPr="002E503E">
        <w:rPr>
          <w:rFonts w:ascii="Verdana" w:hAnsi="Verdana"/>
          <w:sz w:val="20"/>
          <w:szCs w:val="20"/>
        </w:rPr>
        <w:t xml:space="preserve"> Grupy roboczej PZP </w:t>
      </w:r>
      <w:r w:rsidR="00AF32A1">
        <w:rPr>
          <w:rFonts w:ascii="Verdana" w:hAnsi="Verdana"/>
          <w:sz w:val="20"/>
          <w:szCs w:val="20"/>
        </w:rPr>
        <w:t>są</w:t>
      </w:r>
      <w:r w:rsidRPr="002E503E">
        <w:rPr>
          <w:rFonts w:ascii="Verdana" w:hAnsi="Verdana"/>
          <w:sz w:val="20"/>
          <w:szCs w:val="20"/>
        </w:rPr>
        <w:t xml:space="preserve"> u</w:t>
      </w:r>
      <w:r w:rsidR="00E34DB0" w:rsidRPr="002E503E">
        <w:rPr>
          <w:rFonts w:ascii="Verdana" w:hAnsi="Verdana"/>
          <w:sz w:val="20"/>
          <w:szCs w:val="20"/>
        </w:rPr>
        <w:t xml:space="preserve">wagi zgłoszone </w:t>
      </w:r>
      <w:r w:rsidR="00AF32A1" w:rsidRPr="002E503E">
        <w:rPr>
          <w:rFonts w:ascii="Verdana" w:hAnsi="Verdana"/>
          <w:sz w:val="20"/>
          <w:szCs w:val="20"/>
        </w:rPr>
        <w:t xml:space="preserve">do </w:t>
      </w:r>
      <w:r w:rsidR="00AF32A1">
        <w:rPr>
          <w:rFonts w:ascii="Verdana" w:hAnsi="Verdana"/>
          <w:sz w:val="20"/>
          <w:szCs w:val="20"/>
        </w:rPr>
        <w:t>dnia 29</w:t>
      </w:r>
      <w:r w:rsidR="00AF32A1" w:rsidRPr="002E503E">
        <w:rPr>
          <w:rFonts w:ascii="Verdana" w:hAnsi="Verdana"/>
          <w:sz w:val="20"/>
          <w:szCs w:val="20"/>
        </w:rPr>
        <w:t>.02.2016 r.</w:t>
      </w:r>
      <w:r w:rsidR="00AF32A1">
        <w:rPr>
          <w:rFonts w:ascii="Verdana" w:hAnsi="Verdana"/>
          <w:sz w:val="20"/>
          <w:szCs w:val="20"/>
        </w:rPr>
        <w:t xml:space="preserve"> przez członków</w:t>
      </w:r>
      <w:r w:rsidR="008715D5">
        <w:rPr>
          <w:rFonts w:ascii="Verdana" w:hAnsi="Verdana"/>
          <w:sz w:val="20"/>
          <w:szCs w:val="20"/>
        </w:rPr>
        <w:t xml:space="preserve"> Grupy </w:t>
      </w:r>
      <w:r w:rsidR="00AF32A1">
        <w:rPr>
          <w:rFonts w:ascii="Verdana" w:hAnsi="Verdana"/>
          <w:sz w:val="20"/>
          <w:szCs w:val="20"/>
        </w:rPr>
        <w:t xml:space="preserve">roboczej </w:t>
      </w:r>
      <w:r w:rsidR="008715D5">
        <w:rPr>
          <w:rFonts w:ascii="Verdana" w:hAnsi="Verdana"/>
          <w:sz w:val="20"/>
          <w:szCs w:val="20"/>
        </w:rPr>
        <w:t xml:space="preserve">PZP </w:t>
      </w:r>
      <w:r w:rsidRPr="002E503E">
        <w:rPr>
          <w:rFonts w:ascii="Verdana" w:hAnsi="Verdana"/>
          <w:sz w:val="20"/>
          <w:szCs w:val="20"/>
        </w:rPr>
        <w:t xml:space="preserve">do </w:t>
      </w:r>
      <w:r w:rsidR="008715D5">
        <w:rPr>
          <w:rFonts w:ascii="Verdana" w:hAnsi="Verdana"/>
          <w:sz w:val="20"/>
          <w:szCs w:val="20"/>
        </w:rPr>
        <w:t xml:space="preserve">drugiej wersji </w:t>
      </w:r>
      <w:r w:rsidRPr="002E503E">
        <w:rPr>
          <w:rFonts w:ascii="Verdana" w:hAnsi="Verdana"/>
          <w:sz w:val="20"/>
          <w:szCs w:val="20"/>
        </w:rPr>
        <w:t>projektu nowelizacji Ustawy pzp</w:t>
      </w:r>
      <w:r w:rsidR="008715D5">
        <w:rPr>
          <w:rFonts w:ascii="Verdana" w:hAnsi="Verdana"/>
          <w:sz w:val="20"/>
          <w:szCs w:val="20"/>
        </w:rPr>
        <w:t xml:space="preserve"> z dnia 24.02.2016 r.</w:t>
      </w:r>
    </w:p>
    <w:p w:rsidR="00E34DB0" w:rsidRPr="008715D5" w:rsidRDefault="00454FEB" w:rsidP="008715D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Celem analizy </w:t>
      </w:r>
      <w:r w:rsidR="00AF32A1">
        <w:rPr>
          <w:rFonts w:ascii="Verdana" w:hAnsi="Verdana"/>
          <w:sz w:val="20"/>
          <w:szCs w:val="20"/>
        </w:rPr>
        <w:t xml:space="preserve">jest </w:t>
      </w:r>
      <w:r w:rsidR="008715D5">
        <w:rPr>
          <w:rFonts w:ascii="Verdana" w:hAnsi="Verdana"/>
          <w:sz w:val="20"/>
          <w:szCs w:val="20"/>
        </w:rPr>
        <w:t xml:space="preserve">weryfikacja drugiej wersji </w:t>
      </w:r>
      <w:r w:rsidR="008715D5" w:rsidRPr="002E503E">
        <w:rPr>
          <w:rFonts w:ascii="Verdana" w:hAnsi="Verdana"/>
          <w:sz w:val="20"/>
          <w:szCs w:val="20"/>
        </w:rPr>
        <w:t>projektu nowelizacji Ustawy pzp</w:t>
      </w:r>
      <w:r w:rsidR="008715D5">
        <w:rPr>
          <w:rFonts w:ascii="Verdana" w:hAnsi="Verdana"/>
          <w:sz w:val="20"/>
          <w:szCs w:val="20"/>
        </w:rPr>
        <w:t xml:space="preserve"> z dnia 24.02.2016 r., pod kątem uwzględnienia postula</w:t>
      </w:r>
      <w:r w:rsidR="00AF32A1">
        <w:rPr>
          <w:rFonts w:ascii="Verdana" w:hAnsi="Verdana"/>
          <w:sz w:val="20"/>
          <w:szCs w:val="20"/>
        </w:rPr>
        <w:t>tów zawartych w</w:t>
      </w:r>
      <w:r w:rsidR="008715D5">
        <w:rPr>
          <w:rFonts w:ascii="Verdana" w:hAnsi="Verdana"/>
          <w:sz w:val="20"/>
          <w:szCs w:val="20"/>
        </w:rPr>
        <w:t xml:space="preserve"> </w:t>
      </w:r>
      <w:r w:rsidR="008715D5" w:rsidRPr="00AF32A1">
        <w:rPr>
          <w:rFonts w:ascii="Verdana" w:hAnsi="Verdana"/>
          <w:i/>
          <w:sz w:val="20"/>
          <w:szCs w:val="20"/>
        </w:rPr>
        <w:t>Stanowisk</w:t>
      </w:r>
      <w:r w:rsidR="00AF32A1">
        <w:rPr>
          <w:rFonts w:ascii="Verdana" w:hAnsi="Verdana"/>
          <w:i/>
          <w:sz w:val="20"/>
          <w:szCs w:val="20"/>
        </w:rPr>
        <w:t>u</w:t>
      </w:r>
      <w:r w:rsidR="008715D5">
        <w:rPr>
          <w:rFonts w:ascii="Verdana" w:hAnsi="Verdana"/>
          <w:sz w:val="20"/>
          <w:szCs w:val="20"/>
        </w:rPr>
        <w:t xml:space="preserve"> Grupy PZP </w:t>
      </w:r>
      <w:r w:rsidR="00115BB7">
        <w:rPr>
          <w:rFonts w:ascii="Verdana" w:hAnsi="Verdana"/>
          <w:sz w:val="20"/>
          <w:szCs w:val="20"/>
        </w:rPr>
        <w:t>z</w:t>
      </w:r>
      <w:r w:rsidR="008715D5">
        <w:rPr>
          <w:rFonts w:ascii="Verdana" w:hAnsi="Verdana"/>
          <w:sz w:val="20"/>
          <w:szCs w:val="20"/>
        </w:rPr>
        <w:t xml:space="preserve"> dnia 10.02.2016 r. </w:t>
      </w:r>
      <w:r w:rsidR="00115BB7">
        <w:rPr>
          <w:rFonts w:ascii="Verdana" w:hAnsi="Verdana"/>
          <w:sz w:val="20"/>
          <w:szCs w:val="20"/>
        </w:rPr>
        <w:t xml:space="preserve">odnośnie </w:t>
      </w:r>
      <w:r w:rsidR="008715D5">
        <w:rPr>
          <w:rFonts w:ascii="Verdana" w:hAnsi="Verdana"/>
          <w:sz w:val="20"/>
          <w:szCs w:val="20"/>
        </w:rPr>
        <w:t xml:space="preserve">do priorytetowych obszarów przepisów zawartych w pierwszej wersji projektu nowelizacji ustawy pzp, a także </w:t>
      </w:r>
      <w:r>
        <w:rPr>
          <w:rFonts w:ascii="Verdana" w:hAnsi="Verdana"/>
          <w:sz w:val="20"/>
          <w:szCs w:val="20"/>
        </w:rPr>
        <w:t xml:space="preserve">zwrócenie szczególnej uwagi na </w:t>
      </w:r>
      <w:r w:rsidR="008715D5">
        <w:rPr>
          <w:rFonts w:ascii="Verdana" w:hAnsi="Verdana"/>
          <w:sz w:val="20"/>
          <w:szCs w:val="20"/>
        </w:rPr>
        <w:t xml:space="preserve">przepisy, które pojawiły się w drugiej wersji projektu nowelizacji Ustawy pzp. </w:t>
      </w:r>
    </w:p>
    <w:p w:rsidR="00E52EDF" w:rsidRDefault="00E52EDF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E34DB0" w:rsidRDefault="00C97074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W ramach priorytetów dla obecnej nowelizacji ustawy PZP </w:t>
      </w:r>
      <w:r w:rsidR="0089712B">
        <w:rPr>
          <w:rFonts w:ascii="Verdana" w:hAnsi="Verdana"/>
          <w:sz w:val="20"/>
          <w:szCs w:val="20"/>
        </w:rPr>
        <w:t>Grupa robocza PZP uzna</w:t>
      </w:r>
      <w:r w:rsidR="008715D5">
        <w:rPr>
          <w:rFonts w:ascii="Verdana" w:hAnsi="Verdana"/>
          <w:sz w:val="20"/>
          <w:szCs w:val="20"/>
        </w:rPr>
        <w:t>ła</w:t>
      </w:r>
      <w:r w:rsidR="0089712B">
        <w:rPr>
          <w:rFonts w:ascii="Verdana" w:hAnsi="Verdana"/>
          <w:sz w:val="20"/>
          <w:szCs w:val="20"/>
        </w:rPr>
        <w:t xml:space="preserve"> </w:t>
      </w:r>
      <w:r w:rsidR="0077596E">
        <w:rPr>
          <w:rFonts w:ascii="Verdana" w:hAnsi="Verdana"/>
          <w:sz w:val="20"/>
          <w:szCs w:val="20"/>
        </w:rPr>
        <w:t xml:space="preserve">9 </w:t>
      </w:r>
      <w:r w:rsidR="0089712B">
        <w:rPr>
          <w:rFonts w:ascii="Verdana" w:hAnsi="Verdana"/>
          <w:sz w:val="20"/>
          <w:szCs w:val="20"/>
        </w:rPr>
        <w:t>następując</w:t>
      </w:r>
      <w:r w:rsidR="0077596E">
        <w:rPr>
          <w:rFonts w:ascii="Verdana" w:hAnsi="Verdana"/>
          <w:sz w:val="20"/>
          <w:szCs w:val="20"/>
        </w:rPr>
        <w:t>ych</w:t>
      </w:r>
      <w:r w:rsidR="0089712B">
        <w:rPr>
          <w:rFonts w:ascii="Verdana" w:hAnsi="Verdana"/>
          <w:sz w:val="20"/>
          <w:szCs w:val="20"/>
        </w:rPr>
        <w:t xml:space="preserve"> zagadnie</w:t>
      </w:r>
      <w:r w:rsidR="0077596E">
        <w:rPr>
          <w:rFonts w:ascii="Verdana" w:hAnsi="Verdana"/>
          <w:sz w:val="20"/>
          <w:szCs w:val="20"/>
        </w:rPr>
        <w:t>ń</w:t>
      </w:r>
      <w:r w:rsidRPr="002E503E">
        <w:rPr>
          <w:rFonts w:ascii="Verdana" w:hAnsi="Verdana"/>
          <w:sz w:val="20"/>
          <w:szCs w:val="20"/>
        </w:rPr>
        <w:t>:</w:t>
      </w:r>
    </w:p>
    <w:p w:rsidR="005D5258" w:rsidRPr="005D5258" w:rsidRDefault="00206438" w:rsidP="005D5258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D5258">
        <w:rPr>
          <w:rFonts w:ascii="Verdana" w:hAnsi="Verdana"/>
          <w:sz w:val="20"/>
          <w:szCs w:val="20"/>
        </w:rPr>
        <w:t>Wykluczenia</w:t>
      </w:r>
    </w:p>
    <w:p w:rsidR="005D5258" w:rsidRPr="005D5258" w:rsidRDefault="00206438" w:rsidP="005D5258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D5258">
        <w:rPr>
          <w:rFonts w:ascii="Verdana" w:hAnsi="Verdana"/>
          <w:sz w:val="20"/>
          <w:szCs w:val="20"/>
        </w:rPr>
        <w:t>Jednolity euro</w:t>
      </w:r>
      <w:r>
        <w:rPr>
          <w:rFonts w:ascii="Verdana" w:hAnsi="Verdana"/>
          <w:sz w:val="20"/>
          <w:szCs w:val="20"/>
        </w:rPr>
        <w:t>pejski dokument zamówienia (JEDZ</w:t>
      </w:r>
      <w:r w:rsidRPr="005D5258">
        <w:rPr>
          <w:rFonts w:ascii="Verdana" w:hAnsi="Verdana"/>
          <w:sz w:val="20"/>
          <w:szCs w:val="20"/>
        </w:rPr>
        <w:t>)</w:t>
      </w:r>
    </w:p>
    <w:p w:rsidR="005D5258" w:rsidRPr="005D5258" w:rsidRDefault="00206438" w:rsidP="005D5258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D5258">
        <w:rPr>
          <w:rFonts w:ascii="Verdana" w:hAnsi="Verdana"/>
          <w:sz w:val="20"/>
          <w:szCs w:val="20"/>
        </w:rPr>
        <w:t xml:space="preserve">Umowy o pracę </w:t>
      </w:r>
    </w:p>
    <w:p w:rsidR="005D5258" w:rsidRPr="005D5258" w:rsidRDefault="00206438" w:rsidP="005D5258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 (OPZ</w:t>
      </w:r>
      <w:r w:rsidRPr="005D5258">
        <w:rPr>
          <w:rFonts w:ascii="Verdana" w:hAnsi="Verdana"/>
          <w:sz w:val="20"/>
          <w:szCs w:val="20"/>
        </w:rPr>
        <w:t>)</w:t>
      </w:r>
    </w:p>
    <w:p w:rsidR="005D5258" w:rsidRPr="005D5258" w:rsidRDefault="00206438" w:rsidP="005D5258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D5258">
        <w:rPr>
          <w:rFonts w:ascii="Verdana" w:hAnsi="Verdana"/>
          <w:sz w:val="20"/>
          <w:szCs w:val="20"/>
        </w:rPr>
        <w:t>Podwykonawstwo</w:t>
      </w:r>
    </w:p>
    <w:p w:rsidR="005D5258" w:rsidRPr="005D5258" w:rsidRDefault="00206438" w:rsidP="005D5258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D5258">
        <w:rPr>
          <w:rFonts w:ascii="Verdana" w:hAnsi="Verdana"/>
          <w:sz w:val="20"/>
          <w:szCs w:val="20"/>
        </w:rPr>
        <w:t>Kryteria</w:t>
      </w:r>
    </w:p>
    <w:p w:rsidR="005D5258" w:rsidRPr="005D5258" w:rsidRDefault="00206438" w:rsidP="005D5258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Rażąco niska cena (RNC</w:t>
      </w:r>
      <w:r w:rsidRPr="005D5258">
        <w:rPr>
          <w:rFonts w:ascii="Verdana" w:hAnsi="Verdana"/>
          <w:sz w:val="20"/>
          <w:szCs w:val="20"/>
        </w:rPr>
        <w:t>)</w:t>
      </w:r>
    </w:p>
    <w:p w:rsidR="005D5258" w:rsidRPr="005D5258" w:rsidRDefault="005D5258" w:rsidP="005D5258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D5258">
        <w:rPr>
          <w:rFonts w:ascii="Verdana" w:hAnsi="Verdana"/>
          <w:sz w:val="20"/>
          <w:szCs w:val="20"/>
        </w:rPr>
        <w:t>M</w:t>
      </w:r>
      <w:r w:rsidR="00206438" w:rsidRPr="005D5258">
        <w:rPr>
          <w:rFonts w:ascii="Verdana" w:hAnsi="Verdana"/>
          <w:sz w:val="20"/>
          <w:szCs w:val="20"/>
        </w:rPr>
        <w:t>odyfikacje umów, przepisy przejściowe</w:t>
      </w:r>
    </w:p>
    <w:p w:rsidR="005D5258" w:rsidRPr="002E503E" w:rsidRDefault="005D5258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C97074" w:rsidRDefault="00F96F35" w:rsidP="0089712B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89712B">
        <w:rPr>
          <w:rFonts w:ascii="Verdana" w:hAnsi="Verdana"/>
          <w:b/>
          <w:sz w:val="20"/>
          <w:szCs w:val="20"/>
        </w:rPr>
        <w:t>WYKLUCZENIA</w:t>
      </w:r>
    </w:p>
    <w:p w:rsidR="0089712B" w:rsidRPr="00DB5DF7" w:rsidRDefault="0089712B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B5DF7">
        <w:rPr>
          <w:rFonts w:ascii="Verdana" w:hAnsi="Verdana"/>
          <w:sz w:val="20"/>
          <w:szCs w:val="20"/>
        </w:rPr>
        <w:t>Podsumowanie uwag poszczególnych organizacji w obszarze „Wykluczenia”</w:t>
      </w:r>
    </w:p>
    <w:p w:rsidR="00FB7D40" w:rsidRPr="00DB5DF7" w:rsidRDefault="00FB7D40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DB5DF7">
        <w:rPr>
          <w:rFonts w:ascii="Verdana" w:hAnsi="Verdana"/>
          <w:b/>
          <w:sz w:val="20"/>
          <w:szCs w:val="20"/>
        </w:rPr>
        <w:t>Uwagi art. 24 ust 1 pkt 17)</w:t>
      </w:r>
      <w:r w:rsidR="00AD2C79" w:rsidRPr="00DB5DF7">
        <w:rPr>
          <w:rFonts w:ascii="Verdana" w:hAnsi="Verdana"/>
          <w:b/>
          <w:sz w:val="20"/>
          <w:szCs w:val="20"/>
        </w:rPr>
        <w:t xml:space="preserve"> - </w:t>
      </w:r>
      <w:r w:rsidR="00EF1CD2">
        <w:rPr>
          <w:rFonts w:ascii="Verdana" w:hAnsi="Verdana"/>
          <w:b/>
          <w:sz w:val="20"/>
          <w:szCs w:val="20"/>
        </w:rPr>
        <w:t>obecnie</w:t>
      </w:r>
      <w:r w:rsidR="00EF1CD2" w:rsidRPr="00DB5DF7">
        <w:rPr>
          <w:rFonts w:ascii="Verdana" w:hAnsi="Verdana"/>
          <w:b/>
          <w:sz w:val="20"/>
          <w:szCs w:val="20"/>
        </w:rPr>
        <w:t xml:space="preserve"> </w:t>
      </w:r>
      <w:r w:rsidR="00AD2C79" w:rsidRPr="00DB5DF7">
        <w:rPr>
          <w:rFonts w:ascii="Verdana" w:hAnsi="Verdana"/>
          <w:b/>
          <w:sz w:val="20"/>
          <w:szCs w:val="20"/>
        </w:rPr>
        <w:t xml:space="preserve">problem przeniesiono do </w:t>
      </w:r>
      <w:r w:rsidR="00F263D0">
        <w:rPr>
          <w:rFonts w:ascii="Verdana" w:hAnsi="Verdana"/>
          <w:b/>
          <w:sz w:val="20"/>
          <w:szCs w:val="20"/>
        </w:rPr>
        <w:t xml:space="preserve">pkt </w:t>
      </w:r>
      <w:r w:rsidR="00AD2C79" w:rsidRPr="00DB5DF7">
        <w:rPr>
          <w:rFonts w:ascii="Verdana" w:hAnsi="Verdana"/>
          <w:b/>
          <w:sz w:val="20"/>
          <w:szCs w:val="20"/>
        </w:rPr>
        <w:t>18)</w:t>
      </w:r>
    </w:p>
    <w:p w:rsidR="00FB7D40" w:rsidRPr="00DB5DF7" w:rsidRDefault="00FB7D40" w:rsidP="0089712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B5DF7">
        <w:rPr>
          <w:rFonts w:ascii="Verdana" w:hAnsi="Verdana"/>
          <w:sz w:val="20"/>
          <w:szCs w:val="20"/>
        </w:rPr>
        <w:t xml:space="preserve">Lekkomyślność i niedbalstwo zamienić na rażące niedbalstwo, w dyrektywie „zaniedbanie” </w:t>
      </w:r>
      <w:r w:rsidR="00AD2C79" w:rsidRPr="00DB5DF7">
        <w:rPr>
          <w:rFonts w:ascii="Verdana" w:hAnsi="Verdana"/>
          <w:sz w:val="20"/>
          <w:szCs w:val="20"/>
        </w:rPr>
        <w:t>lub uchylić – OIGD</w:t>
      </w:r>
    </w:p>
    <w:p w:rsidR="0075169D" w:rsidRPr="00DB5DF7" w:rsidRDefault="0075169D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DB5DF7">
        <w:rPr>
          <w:rFonts w:ascii="Verdana" w:hAnsi="Verdana"/>
          <w:b/>
          <w:sz w:val="20"/>
          <w:szCs w:val="20"/>
        </w:rPr>
        <w:t>Uwagi art. 24 ust 2 pkt 4)</w:t>
      </w:r>
      <w:r w:rsidR="005A51B9" w:rsidRPr="00DB5DF7">
        <w:rPr>
          <w:rFonts w:ascii="Verdana" w:hAnsi="Verdana"/>
          <w:b/>
          <w:sz w:val="20"/>
          <w:szCs w:val="20"/>
        </w:rPr>
        <w:t xml:space="preserve"> </w:t>
      </w:r>
      <w:r w:rsidR="00F263D0">
        <w:rPr>
          <w:rFonts w:ascii="Verdana" w:hAnsi="Verdana"/>
          <w:b/>
          <w:sz w:val="20"/>
          <w:szCs w:val="20"/>
        </w:rPr>
        <w:t>–</w:t>
      </w:r>
      <w:r w:rsidR="005A51B9" w:rsidRPr="00DB5DF7">
        <w:rPr>
          <w:rFonts w:ascii="Verdana" w:hAnsi="Verdana"/>
          <w:b/>
          <w:sz w:val="20"/>
          <w:szCs w:val="20"/>
        </w:rPr>
        <w:t xml:space="preserve"> </w:t>
      </w:r>
      <w:r w:rsidR="00F263D0">
        <w:rPr>
          <w:rFonts w:ascii="Verdana" w:hAnsi="Verdana"/>
          <w:b/>
          <w:sz w:val="20"/>
          <w:szCs w:val="20"/>
        </w:rPr>
        <w:t xml:space="preserve">obecnie </w:t>
      </w:r>
      <w:r w:rsidR="005A51B9" w:rsidRPr="00DB5DF7">
        <w:rPr>
          <w:rFonts w:ascii="Verdana" w:hAnsi="Verdana"/>
          <w:b/>
          <w:sz w:val="20"/>
          <w:szCs w:val="20"/>
        </w:rPr>
        <w:t>art. 24 ust 5 pkt 4</w:t>
      </w:r>
      <w:r w:rsidR="00346054">
        <w:rPr>
          <w:rFonts w:ascii="Verdana" w:hAnsi="Verdana"/>
          <w:b/>
          <w:sz w:val="20"/>
          <w:szCs w:val="20"/>
        </w:rPr>
        <w:t>)</w:t>
      </w:r>
    </w:p>
    <w:p w:rsidR="004E02DC" w:rsidRPr="00DB5DF7" w:rsidRDefault="004E02DC" w:rsidP="0089712B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B5DF7">
        <w:rPr>
          <w:rFonts w:ascii="Verdana" w:hAnsi="Verdana"/>
          <w:sz w:val="20"/>
          <w:szCs w:val="20"/>
        </w:rPr>
        <w:t>Uchylenie pkt 4) - OIGD</w:t>
      </w:r>
    </w:p>
    <w:p w:rsidR="004B14D3" w:rsidRPr="00DB5DF7" w:rsidRDefault="004B14D3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DB5DF7">
        <w:rPr>
          <w:rFonts w:ascii="Verdana" w:hAnsi="Verdana"/>
          <w:b/>
          <w:sz w:val="20"/>
          <w:szCs w:val="20"/>
        </w:rPr>
        <w:t>Uwagi art. 24 ust 2 pkt 5)</w:t>
      </w:r>
      <w:r w:rsidR="007842D9" w:rsidRPr="00DB5DF7">
        <w:rPr>
          <w:rFonts w:ascii="Verdana" w:hAnsi="Verdana"/>
          <w:b/>
          <w:sz w:val="20"/>
          <w:szCs w:val="20"/>
        </w:rPr>
        <w:t xml:space="preserve"> – </w:t>
      </w:r>
      <w:r w:rsidR="00F263D0">
        <w:rPr>
          <w:rFonts w:ascii="Verdana" w:hAnsi="Verdana"/>
          <w:b/>
          <w:sz w:val="20"/>
          <w:szCs w:val="20"/>
        </w:rPr>
        <w:t xml:space="preserve">obecnie </w:t>
      </w:r>
      <w:r w:rsidR="007842D9" w:rsidRPr="00DB5DF7">
        <w:rPr>
          <w:rFonts w:ascii="Verdana" w:hAnsi="Verdana"/>
          <w:b/>
          <w:sz w:val="20"/>
          <w:szCs w:val="20"/>
        </w:rPr>
        <w:t>art. 24 ust 5 pkt 5)</w:t>
      </w:r>
    </w:p>
    <w:p w:rsidR="004E02DC" w:rsidRPr="00DB5DF7" w:rsidRDefault="00AA6C9E" w:rsidP="00AA6C9E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DB5DF7">
        <w:rPr>
          <w:rFonts w:ascii="Verdana" w:hAnsi="Verdana"/>
          <w:sz w:val="20"/>
          <w:szCs w:val="20"/>
        </w:rPr>
        <w:t xml:space="preserve">Zgodnie z dyrektywą, nie jest jasne jakie osoby spoza zarządu i organów nadzorczych </w:t>
      </w:r>
      <w:r w:rsidR="007842D9" w:rsidRPr="00DB5DF7">
        <w:rPr>
          <w:rFonts w:ascii="Verdana" w:hAnsi="Verdana"/>
          <w:sz w:val="20"/>
          <w:szCs w:val="20"/>
        </w:rPr>
        <w:t>–</w:t>
      </w:r>
      <w:r w:rsidR="004E02DC" w:rsidRPr="00DB5DF7">
        <w:rPr>
          <w:rFonts w:ascii="Verdana" w:hAnsi="Verdana"/>
          <w:sz w:val="20"/>
          <w:szCs w:val="20"/>
        </w:rPr>
        <w:t xml:space="preserve"> OIGD</w:t>
      </w:r>
    </w:p>
    <w:p w:rsidR="007842D9" w:rsidRPr="00DB5DF7" w:rsidRDefault="007842D9" w:rsidP="007842D9">
      <w:pPr>
        <w:pStyle w:val="Akapitzlist"/>
        <w:numPr>
          <w:ilvl w:val="0"/>
          <w:numId w:val="23"/>
        </w:numPr>
        <w:jc w:val="both"/>
        <w:rPr>
          <w:rFonts w:ascii="Verdana" w:hAnsi="Verdana" w:cs="Times New Roman"/>
          <w:sz w:val="20"/>
          <w:szCs w:val="20"/>
        </w:rPr>
      </w:pPr>
      <w:r w:rsidRPr="00DB5DF7">
        <w:rPr>
          <w:rFonts w:ascii="Verdana" w:hAnsi="Verdana" w:cs="Times New Roman"/>
          <w:sz w:val="20"/>
          <w:szCs w:val="20"/>
        </w:rPr>
        <w:t>Niezdefiniowany krąg osób. Proponujemy ograniczyć przesłankę do członków organów zarządzających, kontrolnych i prokurentów - jak w 24 ust.1 pkt.14) – SIDIR, PZPB, GDDKiA</w:t>
      </w:r>
    </w:p>
    <w:p w:rsidR="007842D9" w:rsidRPr="00DB5DF7" w:rsidRDefault="00F263D0" w:rsidP="008871AA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263D0">
        <w:rPr>
          <w:rFonts w:ascii="Verdana" w:hAnsi="Verdana"/>
          <w:b/>
          <w:sz w:val="20"/>
          <w:szCs w:val="20"/>
        </w:rPr>
        <w:t xml:space="preserve">Uwagi art. 24 ust </w:t>
      </w:r>
      <w:r>
        <w:rPr>
          <w:rFonts w:ascii="Verdana" w:hAnsi="Verdana"/>
          <w:b/>
          <w:sz w:val="20"/>
          <w:szCs w:val="20"/>
        </w:rPr>
        <w:t>2</w:t>
      </w:r>
      <w:r w:rsidRPr="00F263D0">
        <w:rPr>
          <w:rFonts w:ascii="Verdana" w:hAnsi="Verdana"/>
          <w:b/>
          <w:sz w:val="20"/>
          <w:szCs w:val="20"/>
        </w:rPr>
        <w:t xml:space="preserve"> pkt 3)</w:t>
      </w:r>
      <w:r>
        <w:rPr>
          <w:rFonts w:ascii="Verdana" w:hAnsi="Verdana"/>
          <w:b/>
          <w:sz w:val="20"/>
          <w:szCs w:val="20"/>
        </w:rPr>
        <w:t xml:space="preserve"> - obecnie</w:t>
      </w:r>
      <w:r w:rsidR="008871AA" w:rsidRPr="00DB5DF7">
        <w:rPr>
          <w:rFonts w:ascii="Verdana" w:hAnsi="Verdana"/>
          <w:b/>
          <w:sz w:val="20"/>
          <w:szCs w:val="20"/>
        </w:rPr>
        <w:t xml:space="preserve"> art. 24 ust 5 pkt 3)</w:t>
      </w:r>
    </w:p>
    <w:p w:rsidR="00346367" w:rsidRPr="00DB5DF7" w:rsidRDefault="00346367" w:rsidP="00346367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B5DF7">
        <w:rPr>
          <w:rFonts w:ascii="Verdana" w:hAnsi="Verdana"/>
          <w:sz w:val="20"/>
          <w:szCs w:val="20"/>
        </w:rPr>
        <w:t>Usunięcie kary umownej – OIGD, SIDIR, PZPB</w:t>
      </w:r>
    </w:p>
    <w:p w:rsidR="00C92A53" w:rsidRPr="00DB5DF7" w:rsidRDefault="00C92A53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DB5DF7">
        <w:rPr>
          <w:rFonts w:ascii="Verdana" w:hAnsi="Verdana"/>
          <w:b/>
          <w:sz w:val="20"/>
          <w:szCs w:val="20"/>
        </w:rPr>
        <w:t>Uwagi art.</w:t>
      </w:r>
      <w:r w:rsidR="008871AA" w:rsidRPr="00DB5DF7">
        <w:rPr>
          <w:rFonts w:ascii="Verdana" w:hAnsi="Verdana"/>
          <w:b/>
          <w:sz w:val="20"/>
          <w:szCs w:val="20"/>
        </w:rPr>
        <w:t xml:space="preserve"> 24 ust 5</w:t>
      </w:r>
      <w:r w:rsidRPr="00DB5DF7">
        <w:rPr>
          <w:rFonts w:ascii="Verdana" w:hAnsi="Verdana"/>
          <w:b/>
          <w:sz w:val="20"/>
          <w:szCs w:val="20"/>
        </w:rPr>
        <w:t xml:space="preserve"> pkt </w:t>
      </w:r>
      <w:r w:rsidR="008871AA" w:rsidRPr="00DB5DF7">
        <w:rPr>
          <w:rFonts w:ascii="Verdana" w:hAnsi="Verdana"/>
          <w:b/>
          <w:sz w:val="20"/>
          <w:szCs w:val="20"/>
        </w:rPr>
        <w:t>4)-</w:t>
      </w:r>
      <w:r w:rsidRPr="00DB5DF7">
        <w:rPr>
          <w:rFonts w:ascii="Verdana" w:hAnsi="Verdana"/>
          <w:b/>
          <w:sz w:val="20"/>
          <w:szCs w:val="20"/>
        </w:rPr>
        <w:t>6)</w:t>
      </w:r>
    </w:p>
    <w:p w:rsidR="008871AA" w:rsidRPr="00DB5DF7" w:rsidRDefault="008871AA" w:rsidP="008871AA">
      <w:pPr>
        <w:pStyle w:val="Akapitzlist"/>
        <w:numPr>
          <w:ilvl w:val="0"/>
          <w:numId w:val="37"/>
        </w:numPr>
        <w:jc w:val="both"/>
        <w:rPr>
          <w:rFonts w:ascii="Verdana" w:hAnsi="Verdana" w:cs="Times New Roman"/>
          <w:sz w:val="20"/>
          <w:szCs w:val="20"/>
        </w:rPr>
      </w:pPr>
      <w:r w:rsidRPr="00DB5DF7">
        <w:rPr>
          <w:rFonts w:ascii="Verdana" w:hAnsi="Verdana" w:cs="Times New Roman"/>
          <w:sz w:val="20"/>
          <w:szCs w:val="20"/>
        </w:rPr>
        <w:t>Zbyt rygorystyczne zasady dot. Grzywny – SIDIR, PZPB</w:t>
      </w:r>
    </w:p>
    <w:p w:rsidR="00346367" w:rsidRPr="00DB5DF7" w:rsidRDefault="00346367" w:rsidP="00346367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B5DF7">
        <w:rPr>
          <w:rFonts w:ascii="Verdana" w:hAnsi="Verdana"/>
          <w:sz w:val="20"/>
          <w:szCs w:val="20"/>
        </w:rPr>
        <w:t>Uchylenie pkt 6) - OIGD</w:t>
      </w:r>
    </w:p>
    <w:p w:rsidR="00E52EDF" w:rsidRDefault="00E52EDF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52EDF" w:rsidRDefault="00E52EDF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9712B" w:rsidRPr="0089712B" w:rsidRDefault="0089712B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89712B">
        <w:rPr>
          <w:rFonts w:ascii="Verdana" w:hAnsi="Verdana"/>
          <w:b/>
          <w:sz w:val="20"/>
          <w:szCs w:val="20"/>
          <w:u w:val="single"/>
        </w:rPr>
        <w:lastRenderedPageBreak/>
        <w:t>Rekomendac</w:t>
      </w:r>
      <w:r w:rsidR="00EF1CD2">
        <w:rPr>
          <w:rFonts w:ascii="Verdana" w:hAnsi="Verdana"/>
          <w:b/>
          <w:sz w:val="20"/>
          <w:szCs w:val="20"/>
          <w:u w:val="single"/>
        </w:rPr>
        <w:t>ja Grupy PZP – art. 24 ust 1 i 5</w:t>
      </w:r>
    </w:p>
    <w:p w:rsidR="00602AFB" w:rsidRDefault="002B03DC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27E6A">
        <w:rPr>
          <w:rFonts w:ascii="Verdana" w:hAnsi="Verdana"/>
          <w:i/>
          <w:sz w:val="20"/>
          <w:szCs w:val="20"/>
        </w:rPr>
        <w:t xml:space="preserve">Stanowisko </w:t>
      </w:r>
      <w:r>
        <w:rPr>
          <w:rFonts w:ascii="Verdana" w:hAnsi="Verdana"/>
          <w:sz w:val="20"/>
          <w:szCs w:val="20"/>
        </w:rPr>
        <w:t>Grupy PZP pozostaje aktualne w zakresie postulatu o</w:t>
      </w:r>
      <w:r w:rsidR="0089712B" w:rsidRPr="0089712B">
        <w:rPr>
          <w:rFonts w:ascii="Verdana" w:hAnsi="Verdana"/>
          <w:sz w:val="20"/>
          <w:szCs w:val="20"/>
        </w:rPr>
        <w:t xml:space="preserve"> implementację przesłanek wykluczenia wykonawcy </w:t>
      </w:r>
      <w:r w:rsidR="0089712B" w:rsidRPr="00484049">
        <w:rPr>
          <w:rFonts w:ascii="Verdana" w:hAnsi="Verdana"/>
          <w:sz w:val="20"/>
          <w:szCs w:val="20"/>
          <w:u w:val="single"/>
        </w:rPr>
        <w:t>wprost</w:t>
      </w:r>
      <w:r w:rsidR="0089712B" w:rsidRPr="0089712B">
        <w:rPr>
          <w:rFonts w:ascii="Verdana" w:hAnsi="Verdana"/>
          <w:sz w:val="20"/>
          <w:szCs w:val="20"/>
        </w:rPr>
        <w:t xml:space="preserve"> z dyrektywy przy jednoczesnym zachowaniu jednoznaczności pojęć. </w:t>
      </w:r>
      <w:r w:rsidR="00080E04">
        <w:rPr>
          <w:rFonts w:ascii="Verdana" w:hAnsi="Verdana"/>
          <w:sz w:val="20"/>
          <w:szCs w:val="20"/>
        </w:rPr>
        <w:t xml:space="preserve">Na szczególną uwagę zasługuje </w:t>
      </w:r>
      <w:r w:rsidR="00602AFB" w:rsidRPr="00602AFB">
        <w:rPr>
          <w:rFonts w:ascii="Verdana" w:hAnsi="Verdana"/>
          <w:sz w:val="20"/>
          <w:szCs w:val="20"/>
        </w:rPr>
        <w:t>przesłanka art. 24 ust 5 pkt 5)</w:t>
      </w:r>
      <w:r w:rsidR="00602AFB">
        <w:rPr>
          <w:rFonts w:ascii="Verdana" w:hAnsi="Verdana"/>
          <w:sz w:val="20"/>
          <w:szCs w:val="20"/>
        </w:rPr>
        <w:t>, która wymaga doprecyzowania i jednoznacznego wskazania kręgu osób, których wykroczenie jako przesłanka wykluczenia wykonawcy dotyczy. Z uwagi na istotne negatywne konsekwencje dla wykonawcy, skutkujące jego wykluczeniem z postępowania na skutek działania osób występujących w jego imieniu doprecyzowanie ich kręgu jest niezbędne.</w:t>
      </w:r>
      <w:r w:rsidR="003A4C0D">
        <w:rPr>
          <w:rFonts w:ascii="Verdana" w:hAnsi="Verdana"/>
          <w:sz w:val="20"/>
          <w:szCs w:val="20"/>
        </w:rPr>
        <w:t xml:space="preserve"> </w:t>
      </w:r>
      <w:r w:rsidR="0000594F">
        <w:rPr>
          <w:rFonts w:ascii="Verdana" w:hAnsi="Verdana"/>
          <w:sz w:val="20"/>
          <w:szCs w:val="20"/>
        </w:rPr>
        <w:t>Szczególnie istotne jest także zdefiniowanie przesłanki wykluczenia wykonawcy z art</w:t>
      </w:r>
      <w:r w:rsidR="0000594F" w:rsidRPr="0000594F">
        <w:rPr>
          <w:rFonts w:ascii="Verdana" w:hAnsi="Verdana"/>
          <w:sz w:val="20"/>
          <w:szCs w:val="20"/>
        </w:rPr>
        <w:t>. 24 ust 5 pkt 3)</w:t>
      </w:r>
      <w:r w:rsidR="0000594F">
        <w:rPr>
          <w:rFonts w:ascii="Verdana" w:hAnsi="Verdana"/>
          <w:sz w:val="20"/>
          <w:szCs w:val="20"/>
        </w:rPr>
        <w:t xml:space="preserve"> w taki sposób</w:t>
      </w:r>
      <w:r w:rsidR="00346054">
        <w:rPr>
          <w:rFonts w:ascii="Verdana" w:hAnsi="Verdana"/>
          <w:sz w:val="20"/>
          <w:szCs w:val="20"/>
        </w:rPr>
        <w:t>,</w:t>
      </w:r>
      <w:r w:rsidR="0000594F">
        <w:rPr>
          <w:rFonts w:ascii="Verdana" w:hAnsi="Verdana"/>
          <w:sz w:val="20"/>
          <w:szCs w:val="20"/>
        </w:rPr>
        <w:t xml:space="preserve"> aby była zgodna z treścią art. 57 ust 4 lit g) Dyrektywy, gdzie okoliczność naliczenia wykonawcy kary umownej nie znajduje się wprost w treści przepisu unijnego.</w:t>
      </w:r>
    </w:p>
    <w:p w:rsidR="00BC66DB" w:rsidRDefault="006C67BB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Postulat członków Grupy PZP w zakresie doprecyzowania kręgu osób</w:t>
      </w:r>
      <w:r w:rsidR="0020643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 których mowa w art. 24 ust 1 pkt 13) i 15) – w drugiej wersji projektu nowelizacji pkt 14) i 16) został uwzględniony.</w:t>
      </w:r>
    </w:p>
    <w:p w:rsidR="006C67BB" w:rsidRDefault="006C67BB" w:rsidP="006C67B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Postulat członków Grupy PZP w zakresie zmiany zwrotu „</w:t>
      </w:r>
      <w:r w:rsidRPr="003A4C0D">
        <w:rPr>
          <w:rFonts w:ascii="Verdana" w:hAnsi="Verdana"/>
          <w:i/>
          <w:sz w:val="20"/>
          <w:szCs w:val="20"/>
        </w:rPr>
        <w:t>merytoryczne</w:t>
      </w:r>
      <w:r>
        <w:rPr>
          <w:rFonts w:ascii="Verdana" w:hAnsi="Verdana"/>
          <w:sz w:val="20"/>
          <w:szCs w:val="20"/>
        </w:rPr>
        <w:t>” na „</w:t>
      </w:r>
      <w:r w:rsidRPr="003A4C0D">
        <w:rPr>
          <w:rFonts w:ascii="Verdana" w:hAnsi="Verdana"/>
          <w:i/>
          <w:sz w:val="20"/>
          <w:szCs w:val="20"/>
        </w:rPr>
        <w:t>istotne</w:t>
      </w:r>
      <w:r>
        <w:rPr>
          <w:rFonts w:ascii="Verdana" w:hAnsi="Verdana"/>
          <w:sz w:val="20"/>
          <w:szCs w:val="20"/>
        </w:rPr>
        <w:t>” w przesłance wykluczenia z art. 24 ust 2 pkt 3) został uwzględniony.</w:t>
      </w:r>
    </w:p>
    <w:p w:rsidR="006C67BB" w:rsidRPr="0000594F" w:rsidRDefault="006C67BB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4E02DC" w:rsidRPr="00BA5AF1" w:rsidRDefault="00F96F35" w:rsidP="00BA5AF1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BA5AF1">
        <w:rPr>
          <w:rFonts w:ascii="Verdana" w:hAnsi="Verdana"/>
          <w:b/>
          <w:sz w:val="20"/>
          <w:szCs w:val="20"/>
        </w:rPr>
        <w:t>J</w:t>
      </w:r>
      <w:r>
        <w:rPr>
          <w:rFonts w:ascii="Verdana" w:hAnsi="Verdana"/>
          <w:b/>
          <w:sz w:val="20"/>
          <w:szCs w:val="20"/>
        </w:rPr>
        <w:t xml:space="preserve">EDNOLITY </w:t>
      </w:r>
      <w:r w:rsidRPr="00BA5AF1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 xml:space="preserve">UROPEJSKI </w:t>
      </w:r>
      <w:r w:rsidRPr="00BA5AF1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OKUMENT </w:t>
      </w:r>
      <w:r w:rsidRPr="00BA5AF1">
        <w:rPr>
          <w:rFonts w:ascii="Verdana" w:hAnsi="Verdana"/>
          <w:b/>
          <w:sz w:val="20"/>
          <w:szCs w:val="20"/>
        </w:rPr>
        <w:t>Z</w:t>
      </w:r>
      <w:r>
        <w:rPr>
          <w:rFonts w:ascii="Verdana" w:hAnsi="Verdana"/>
          <w:b/>
          <w:sz w:val="20"/>
          <w:szCs w:val="20"/>
        </w:rPr>
        <w:t>AMÓWIENIA (JEDZ)</w:t>
      </w:r>
    </w:p>
    <w:p w:rsidR="00EF4CAC" w:rsidRPr="00EF4CAC" w:rsidRDefault="00EF4CAC" w:rsidP="00EF4CA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EF4CAC">
        <w:rPr>
          <w:rFonts w:ascii="Verdana" w:hAnsi="Verdana"/>
          <w:sz w:val="20"/>
          <w:szCs w:val="20"/>
        </w:rPr>
        <w:t>Podsumowanie uwag poszczególnych organizacji w obszarze „</w:t>
      </w:r>
      <w:r>
        <w:rPr>
          <w:rFonts w:ascii="Verdana" w:hAnsi="Verdana"/>
          <w:sz w:val="20"/>
          <w:szCs w:val="20"/>
        </w:rPr>
        <w:t>JEDZ</w:t>
      </w:r>
      <w:r w:rsidRPr="00EF4CAC">
        <w:rPr>
          <w:rFonts w:ascii="Verdana" w:hAnsi="Verdana"/>
          <w:sz w:val="20"/>
          <w:szCs w:val="20"/>
        </w:rPr>
        <w:t>”</w:t>
      </w:r>
    </w:p>
    <w:p w:rsidR="002510EF" w:rsidRPr="002E503E" w:rsidRDefault="002510EF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E503E">
        <w:rPr>
          <w:rFonts w:ascii="Verdana" w:hAnsi="Verdana"/>
          <w:b/>
          <w:sz w:val="20"/>
          <w:szCs w:val="20"/>
        </w:rPr>
        <w:t>Uwagi art. 26a i 26b</w:t>
      </w:r>
    </w:p>
    <w:p w:rsidR="002510EF" w:rsidRPr="002E503E" w:rsidRDefault="002510EF" w:rsidP="0089712B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należy dookreślić na jaki dzień wykonawca ma potwierdzić spełnienia warunków udziału w postepowaniu i potwierdzić brak podstaw do wykluczenia z postepowania – </w:t>
      </w:r>
      <w:r w:rsidR="00D27E6A">
        <w:rPr>
          <w:rFonts w:ascii="Verdana" w:hAnsi="Verdana"/>
          <w:sz w:val="20"/>
          <w:szCs w:val="20"/>
        </w:rPr>
        <w:t>OIGD</w:t>
      </w:r>
      <w:r w:rsidR="00DD2859">
        <w:rPr>
          <w:rFonts w:ascii="Verdana" w:hAnsi="Verdana"/>
          <w:sz w:val="20"/>
          <w:szCs w:val="20"/>
        </w:rPr>
        <w:t xml:space="preserve">, GDDKiA, </w:t>
      </w:r>
    </w:p>
    <w:p w:rsidR="008438CA" w:rsidRPr="002E503E" w:rsidRDefault="008438CA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E503E">
        <w:rPr>
          <w:rFonts w:ascii="Verdana" w:hAnsi="Verdana"/>
          <w:b/>
          <w:sz w:val="20"/>
          <w:szCs w:val="20"/>
          <w:u w:val="single"/>
        </w:rPr>
        <w:t>Rekomendacja Grupy PZP – art. 26</w:t>
      </w:r>
    </w:p>
    <w:p w:rsidR="00E866A8" w:rsidRPr="00100C25" w:rsidRDefault="00146F13" w:rsidP="00877DC5">
      <w:pPr>
        <w:tabs>
          <w:tab w:val="left" w:pos="0"/>
        </w:tabs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D27E6A">
        <w:rPr>
          <w:rFonts w:ascii="Verdana" w:hAnsi="Verdana"/>
          <w:i/>
          <w:sz w:val="20"/>
          <w:szCs w:val="20"/>
        </w:rPr>
        <w:t xml:space="preserve">Stanowisko </w:t>
      </w:r>
      <w:r>
        <w:rPr>
          <w:rFonts w:ascii="Verdana" w:hAnsi="Verdana"/>
          <w:sz w:val="20"/>
          <w:szCs w:val="20"/>
        </w:rPr>
        <w:t xml:space="preserve">Grupy PZP pozostaje aktualne </w:t>
      </w:r>
      <w:r w:rsidR="002B03DC">
        <w:rPr>
          <w:rFonts w:ascii="Verdana" w:hAnsi="Verdana"/>
          <w:sz w:val="20"/>
          <w:szCs w:val="20"/>
        </w:rPr>
        <w:t>w zakresie konieczności</w:t>
      </w:r>
      <w:r w:rsidR="00313A15">
        <w:rPr>
          <w:rFonts w:ascii="Verdana" w:hAnsi="Verdana"/>
          <w:sz w:val="20"/>
          <w:szCs w:val="20"/>
        </w:rPr>
        <w:t xml:space="preserve"> dookreślenia daty potwierdzenia </w:t>
      </w:r>
      <w:r w:rsidR="00313A15" w:rsidRPr="002E503E">
        <w:rPr>
          <w:rFonts w:ascii="Verdana" w:hAnsi="Verdana"/>
          <w:sz w:val="20"/>
          <w:szCs w:val="20"/>
        </w:rPr>
        <w:t>spełnienia warunków udziału w postepowaniu i brak</w:t>
      </w:r>
      <w:r w:rsidR="00313A15">
        <w:rPr>
          <w:rFonts w:ascii="Verdana" w:hAnsi="Verdana"/>
          <w:sz w:val="20"/>
          <w:szCs w:val="20"/>
        </w:rPr>
        <w:t>u</w:t>
      </w:r>
      <w:r w:rsidR="00313A15" w:rsidRPr="002E503E">
        <w:rPr>
          <w:rFonts w:ascii="Verdana" w:hAnsi="Verdana"/>
          <w:sz w:val="20"/>
          <w:szCs w:val="20"/>
        </w:rPr>
        <w:t xml:space="preserve"> podstaw do wykluczenia z postepowania</w:t>
      </w:r>
      <w:r w:rsidR="00313A15">
        <w:rPr>
          <w:rFonts w:ascii="Verdana" w:hAnsi="Verdana"/>
          <w:sz w:val="20"/>
          <w:szCs w:val="20"/>
        </w:rPr>
        <w:t>.</w:t>
      </w:r>
      <w:r w:rsidR="00313A15" w:rsidRPr="002E503E">
        <w:rPr>
          <w:rFonts w:ascii="Verdana" w:hAnsi="Verdana"/>
          <w:sz w:val="20"/>
          <w:szCs w:val="20"/>
        </w:rPr>
        <w:t xml:space="preserve"> </w:t>
      </w:r>
      <w:r w:rsidR="0062330E" w:rsidRPr="002E503E">
        <w:rPr>
          <w:rFonts w:ascii="Verdana" w:hAnsi="Verdana"/>
          <w:sz w:val="20"/>
          <w:szCs w:val="20"/>
        </w:rPr>
        <w:t xml:space="preserve">Zdaniem członków Grupy </w:t>
      </w:r>
      <w:r w:rsidR="00D27E6A">
        <w:rPr>
          <w:rFonts w:ascii="Verdana" w:hAnsi="Verdana"/>
          <w:sz w:val="20"/>
          <w:szCs w:val="20"/>
        </w:rPr>
        <w:t xml:space="preserve">druga wersja </w:t>
      </w:r>
      <w:r w:rsidR="0062330E" w:rsidRPr="002E503E">
        <w:rPr>
          <w:rFonts w:ascii="Verdana" w:hAnsi="Verdana"/>
          <w:sz w:val="20"/>
          <w:szCs w:val="20"/>
        </w:rPr>
        <w:t>projekt</w:t>
      </w:r>
      <w:r w:rsidR="00D27E6A">
        <w:rPr>
          <w:rFonts w:ascii="Verdana" w:hAnsi="Verdana"/>
          <w:sz w:val="20"/>
          <w:szCs w:val="20"/>
        </w:rPr>
        <w:t>u</w:t>
      </w:r>
      <w:r w:rsidR="0062330E" w:rsidRPr="002E503E">
        <w:rPr>
          <w:rFonts w:ascii="Verdana" w:hAnsi="Verdana"/>
          <w:sz w:val="20"/>
          <w:szCs w:val="20"/>
        </w:rPr>
        <w:t xml:space="preserve"> nowelizacji Ustawy </w:t>
      </w:r>
      <w:r w:rsidR="00D27E6A">
        <w:rPr>
          <w:rFonts w:ascii="Verdana" w:hAnsi="Verdana"/>
          <w:sz w:val="20"/>
          <w:szCs w:val="20"/>
        </w:rPr>
        <w:t>poprzez korektę treści przepisu art. 26 i dodanie w nim określenia „</w:t>
      </w:r>
      <w:r w:rsidR="00D27E6A" w:rsidRPr="00BC66DB">
        <w:rPr>
          <w:rFonts w:ascii="Verdana" w:hAnsi="Verdana"/>
          <w:i/>
          <w:sz w:val="20"/>
          <w:szCs w:val="20"/>
        </w:rPr>
        <w:t>aktualne dokumenty</w:t>
      </w:r>
      <w:r w:rsidR="00D27E6A">
        <w:rPr>
          <w:rFonts w:ascii="Verdana" w:hAnsi="Verdana"/>
          <w:sz w:val="20"/>
          <w:szCs w:val="20"/>
        </w:rPr>
        <w:t xml:space="preserve">” </w:t>
      </w:r>
      <w:r w:rsidR="0062330E" w:rsidRPr="002E503E">
        <w:rPr>
          <w:rFonts w:ascii="Verdana" w:hAnsi="Verdana"/>
          <w:sz w:val="20"/>
          <w:szCs w:val="20"/>
        </w:rPr>
        <w:t>nie wskazując</w:t>
      </w:r>
      <w:r w:rsidR="00D27E6A">
        <w:rPr>
          <w:rFonts w:ascii="Verdana" w:hAnsi="Verdana"/>
          <w:sz w:val="20"/>
          <w:szCs w:val="20"/>
        </w:rPr>
        <w:t xml:space="preserve"> precyzyjnie</w:t>
      </w:r>
      <w:r w:rsidR="0062330E" w:rsidRPr="002E503E">
        <w:rPr>
          <w:rFonts w:ascii="Verdana" w:hAnsi="Verdana"/>
          <w:sz w:val="20"/>
          <w:szCs w:val="20"/>
        </w:rPr>
        <w:t xml:space="preserve"> zasad na jaki dzień wykonawca ma potwierdzić spełnienia warunków udziału w postepowaniu i potwierdzić brak podstaw do wykluczenia z postepowania </w:t>
      </w:r>
      <w:r w:rsidR="00BC66DB">
        <w:rPr>
          <w:rFonts w:ascii="Verdana" w:hAnsi="Verdana"/>
          <w:sz w:val="20"/>
          <w:szCs w:val="20"/>
        </w:rPr>
        <w:t xml:space="preserve">nie realizuje postulatów Grupy PZP i </w:t>
      </w:r>
      <w:r w:rsidR="0062330E" w:rsidRPr="002E503E">
        <w:rPr>
          <w:rFonts w:ascii="Verdana" w:hAnsi="Verdana"/>
          <w:sz w:val="20"/>
          <w:szCs w:val="20"/>
        </w:rPr>
        <w:t>rodzi ryzyko</w:t>
      </w:r>
      <w:r w:rsidR="00D27E6A">
        <w:rPr>
          <w:rFonts w:ascii="Verdana" w:hAnsi="Verdana"/>
          <w:sz w:val="20"/>
          <w:szCs w:val="20"/>
        </w:rPr>
        <w:t xml:space="preserve"> sposobu oceny „</w:t>
      </w:r>
      <w:r w:rsidR="00D27E6A" w:rsidRPr="00BC66DB">
        <w:rPr>
          <w:rFonts w:ascii="Verdana" w:hAnsi="Verdana"/>
          <w:i/>
          <w:sz w:val="20"/>
          <w:szCs w:val="20"/>
        </w:rPr>
        <w:t>aktualności dokumentów</w:t>
      </w:r>
      <w:r w:rsidR="00D27E6A">
        <w:rPr>
          <w:rFonts w:ascii="Verdana" w:hAnsi="Verdana"/>
          <w:sz w:val="20"/>
          <w:szCs w:val="20"/>
        </w:rPr>
        <w:t>”.</w:t>
      </w:r>
      <w:r w:rsidR="00E866A8">
        <w:rPr>
          <w:rFonts w:ascii="Verdana" w:hAnsi="Verdana"/>
          <w:sz w:val="20"/>
          <w:szCs w:val="20"/>
        </w:rPr>
        <w:t xml:space="preserve"> </w:t>
      </w:r>
      <w:r w:rsidR="00E866A8" w:rsidRPr="00100C25">
        <w:rPr>
          <w:rFonts w:ascii="Verdana" w:hAnsi="Verdana"/>
          <w:sz w:val="20"/>
          <w:szCs w:val="20"/>
        </w:rPr>
        <w:t>W szczególności w momencie pozostawienia w mocy obecnie obowiązującego Rozporządzenia Prezesa Rady Ministrów „</w:t>
      </w:r>
      <w:r w:rsidR="00E866A8" w:rsidRPr="00D96D8F">
        <w:rPr>
          <w:rFonts w:ascii="Verdana" w:hAnsi="Verdana"/>
          <w:i/>
          <w:sz w:val="20"/>
          <w:szCs w:val="20"/>
        </w:rPr>
        <w:t>w sprawie rodzajów dokumentów…”</w:t>
      </w:r>
      <w:r w:rsidR="00E866A8" w:rsidRPr="008831A0">
        <w:rPr>
          <w:rFonts w:ascii="Verdana" w:hAnsi="Verdana"/>
          <w:sz w:val="20"/>
          <w:szCs w:val="20"/>
        </w:rPr>
        <w:t xml:space="preserve"> redakcja tego przepisu wymaga ponownej analizy. </w:t>
      </w:r>
      <w:r w:rsidR="00E866A8">
        <w:rPr>
          <w:rFonts w:ascii="Verdana" w:hAnsi="Verdana"/>
          <w:sz w:val="20"/>
          <w:szCs w:val="20"/>
        </w:rPr>
        <w:t xml:space="preserve">Postulat pozostaje więc aktualny na etap prac nad treścią nowego </w:t>
      </w:r>
      <w:r w:rsidR="00E866A8" w:rsidRPr="00100C25">
        <w:rPr>
          <w:rFonts w:ascii="Verdana" w:hAnsi="Verdana"/>
          <w:sz w:val="20"/>
          <w:szCs w:val="20"/>
        </w:rPr>
        <w:t>Rozporządzenia „</w:t>
      </w:r>
      <w:r w:rsidR="00E866A8" w:rsidRPr="00FD37A4">
        <w:rPr>
          <w:rFonts w:ascii="Verdana" w:hAnsi="Verdana"/>
          <w:i/>
          <w:sz w:val="20"/>
          <w:szCs w:val="20"/>
        </w:rPr>
        <w:t>w sprawie rodzajów dokumentów…”</w:t>
      </w:r>
      <w:r w:rsidR="00E866A8">
        <w:rPr>
          <w:rFonts w:ascii="Verdana" w:hAnsi="Verdana"/>
          <w:i/>
          <w:sz w:val="20"/>
          <w:szCs w:val="20"/>
        </w:rPr>
        <w:t>.</w:t>
      </w:r>
    </w:p>
    <w:p w:rsidR="00146F13" w:rsidRDefault="00146F13" w:rsidP="00877DC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Postulat</w:t>
      </w:r>
      <w:r w:rsidR="00EE7C59">
        <w:rPr>
          <w:rFonts w:ascii="Verdana" w:hAnsi="Verdana"/>
          <w:sz w:val="20"/>
          <w:szCs w:val="20"/>
        </w:rPr>
        <w:t xml:space="preserve"> Grupy PZP</w:t>
      </w:r>
      <w:r w:rsidR="00593373">
        <w:rPr>
          <w:rFonts w:ascii="Verdana" w:hAnsi="Verdana"/>
          <w:sz w:val="20"/>
          <w:szCs w:val="20"/>
        </w:rPr>
        <w:t xml:space="preserve"> w zakresie </w:t>
      </w:r>
      <w:r w:rsidR="00593373" w:rsidRPr="002E503E">
        <w:rPr>
          <w:rFonts w:ascii="Verdana" w:hAnsi="Verdana"/>
          <w:sz w:val="20"/>
          <w:szCs w:val="20"/>
        </w:rPr>
        <w:t>przedkładania Jednolitego dokumentu tylko do postępowań powyżej progów unijnych</w:t>
      </w:r>
      <w:r w:rsidR="005933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został uwzględniony.</w:t>
      </w:r>
    </w:p>
    <w:p w:rsidR="0062330E" w:rsidRDefault="00146F13" w:rsidP="00877DC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Postulat Grupy PZP w zakresie</w:t>
      </w:r>
      <w:r w:rsidR="00593373">
        <w:rPr>
          <w:rFonts w:ascii="Verdana" w:hAnsi="Verdana"/>
          <w:sz w:val="20"/>
          <w:szCs w:val="20"/>
        </w:rPr>
        <w:t xml:space="preserve"> określenia sankcji za </w:t>
      </w:r>
      <w:r w:rsidR="00593373" w:rsidRPr="002E503E">
        <w:rPr>
          <w:rFonts w:ascii="Verdana" w:hAnsi="Verdana"/>
          <w:sz w:val="20"/>
          <w:szCs w:val="20"/>
        </w:rPr>
        <w:t>nieuzupełnienie JEDZ</w:t>
      </w:r>
      <w:r w:rsidR="00593373">
        <w:rPr>
          <w:rFonts w:ascii="Verdana" w:hAnsi="Verdana"/>
          <w:sz w:val="20"/>
          <w:szCs w:val="20"/>
        </w:rPr>
        <w:t xml:space="preserve"> został</w:t>
      </w:r>
      <w:r>
        <w:rPr>
          <w:rFonts w:ascii="Verdana" w:hAnsi="Verdana"/>
          <w:sz w:val="20"/>
          <w:szCs w:val="20"/>
        </w:rPr>
        <w:t xml:space="preserve"> uwzględniony</w:t>
      </w:r>
      <w:r w:rsidR="00593373">
        <w:rPr>
          <w:rFonts w:ascii="Verdana" w:hAnsi="Verdana"/>
          <w:sz w:val="20"/>
          <w:szCs w:val="20"/>
        </w:rPr>
        <w:t>.</w:t>
      </w:r>
    </w:p>
    <w:p w:rsidR="0014555D" w:rsidRPr="002E503E" w:rsidRDefault="0014555D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7C014E" w:rsidRPr="005341F1" w:rsidRDefault="00F96F35" w:rsidP="005341F1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5341F1">
        <w:rPr>
          <w:rFonts w:ascii="Verdana" w:hAnsi="Verdana"/>
          <w:b/>
          <w:sz w:val="20"/>
          <w:szCs w:val="20"/>
        </w:rPr>
        <w:t xml:space="preserve">UMOWY O PRACĘ </w:t>
      </w:r>
    </w:p>
    <w:p w:rsidR="005341F1" w:rsidRPr="005341F1" w:rsidRDefault="005341F1" w:rsidP="005341F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341F1">
        <w:rPr>
          <w:rFonts w:ascii="Verdana" w:hAnsi="Verdana"/>
          <w:sz w:val="20"/>
          <w:szCs w:val="20"/>
        </w:rPr>
        <w:t>Podsumowanie uwag poszczególnych organizacji w obszarze „</w:t>
      </w:r>
      <w:r w:rsidR="00C964E0">
        <w:rPr>
          <w:rFonts w:ascii="Verdana" w:hAnsi="Verdana"/>
          <w:sz w:val="20"/>
          <w:szCs w:val="20"/>
        </w:rPr>
        <w:t>Umowy o pracę</w:t>
      </w:r>
      <w:r w:rsidRPr="005341F1">
        <w:rPr>
          <w:rFonts w:ascii="Verdana" w:hAnsi="Verdana"/>
          <w:sz w:val="20"/>
          <w:szCs w:val="20"/>
        </w:rPr>
        <w:t>”</w:t>
      </w:r>
    </w:p>
    <w:p w:rsidR="00BB7F05" w:rsidRPr="002E503E" w:rsidRDefault="00BB7F05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E503E">
        <w:rPr>
          <w:rFonts w:ascii="Verdana" w:hAnsi="Verdana"/>
          <w:b/>
          <w:sz w:val="20"/>
          <w:szCs w:val="20"/>
        </w:rPr>
        <w:t>Uwagi art. 29 ust 5</w:t>
      </w:r>
      <w:r w:rsidR="003F3DAD">
        <w:rPr>
          <w:rFonts w:ascii="Verdana" w:hAnsi="Verdana"/>
          <w:b/>
          <w:sz w:val="20"/>
          <w:szCs w:val="20"/>
        </w:rPr>
        <w:t xml:space="preserve"> – obecnie </w:t>
      </w:r>
      <w:r w:rsidR="003F3DAD" w:rsidRPr="002E503E">
        <w:rPr>
          <w:rFonts w:ascii="Verdana" w:hAnsi="Verdana"/>
          <w:b/>
          <w:sz w:val="20"/>
          <w:szCs w:val="20"/>
        </w:rPr>
        <w:t xml:space="preserve">art. 29 </w:t>
      </w:r>
      <w:r w:rsidR="003F3DAD">
        <w:rPr>
          <w:rFonts w:ascii="Verdana" w:hAnsi="Verdana"/>
          <w:b/>
          <w:sz w:val="20"/>
          <w:szCs w:val="20"/>
        </w:rPr>
        <w:t>ust 3a</w:t>
      </w:r>
    </w:p>
    <w:p w:rsidR="00BB7F05" w:rsidRPr="002E503E" w:rsidRDefault="00DD6F42" w:rsidP="0089712B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umożliwienia zamawiającemu określenia zakresu i rodzaju prac, wykonywanych w ramach przedmiotu zamówienia, jaki będzie objęty tym obowiązkiem – </w:t>
      </w:r>
      <w:r w:rsidR="0014555D">
        <w:rPr>
          <w:rFonts w:ascii="Verdana" w:hAnsi="Verdana"/>
          <w:sz w:val="20"/>
          <w:szCs w:val="20"/>
        </w:rPr>
        <w:t xml:space="preserve">OIGD, </w:t>
      </w:r>
      <w:r w:rsidRPr="002E503E">
        <w:rPr>
          <w:rFonts w:ascii="Verdana" w:hAnsi="Verdana"/>
          <w:sz w:val="20"/>
          <w:szCs w:val="20"/>
        </w:rPr>
        <w:t xml:space="preserve">GDDKIA, </w:t>
      </w:r>
    </w:p>
    <w:p w:rsidR="00DD6F42" w:rsidRPr="002E503E" w:rsidRDefault="00DD6F42" w:rsidP="0089712B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należy usnąć wyrażenie „lub podwykonawcę” - </w:t>
      </w:r>
      <w:r w:rsidR="0014555D">
        <w:rPr>
          <w:rFonts w:ascii="Verdana" w:hAnsi="Verdana"/>
          <w:sz w:val="20"/>
          <w:szCs w:val="20"/>
        </w:rPr>
        <w:t>OIGD</w:t>
      </w:r>
    </w:p>
    <w:p w:rsidR="00A13E09" w:rsidRPr="002E503E" w:rsidRDefault="00A13E09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E503E">
        <w:rPr>
          <w:rFonts w:ascii="Verdana" w:hAnsi="Verdana"/>
          <w:b/>
          <w:sz w:val="20"/>
          <w:szCs w:val="20"/>
          <w:u w:val="single"/>
        </w:rPr>
        <w:lastRenderedPageBreak/>
        <w:t>Rekomendacja Grupy PZP – art. 29 ust 5</w:t>
      </w:r>
    </w:p>
    <w:p w:rsidR="00420BAC" w:rsidRPr="00BE5A64" w:rsidRDefault="00146F13" w:rsidP="00877DC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27E6A">
        <w:rPr>
          <w:rFonts w:ascii="Verdana" w:hAnsi="Verdana"/>
          <w:i/>
          <w:sz w:val="20"/>
          <w:szCs w:val="20"/>
        </w:rPr>
        <w:t xml:space="preserve">Stanowisko </w:t>
      </w:r>
      <w:r>
        <w:rPr>
          <w:rFonts w:ascii="Verdana" w:hAnsi="Verdana"/>
          <w:sz w:val="20"/>
          <w:szCs w:val="20"/>
        </w:rPr>
        <w:t xml:space="preserve">Grupy PZP pozostaje aktualne </w:t>
      </w:r>
      <w:r w:rsidR="00420BAC">
        <w:rPr>
          <w:rFonts w:ascii="Verdana" w:hAnsi="Verdana"/>
          <w:sz w:val="20"/>
          <w:szCs w:val="20"/>
        </w:rPr>
        <w:t>wskazujące, iż r</w:t>
      </w:r>
      <w:r w:rsidR="00374235" w:rsidRPr="002E503E">
        <w:rPr>
          <w:rFonts w:ascii="Verdana" w:hAnsi="Verdana"/>
          <w:sz w:val="20"/>
          <w:szCs w:val="20"/>
        </w:rPr>
        <w:t xml:space="preserve">ozbieżność stanowisk zgłaszanych przez organizacje </w:t>
      </w:r>
      <w:r w:rsidR="00D5744F">
        <w:rPr>
          <w:rFonts w:ascii="Verdana" w:hAnsi="Verdana"/>
          <w:sz w:val="20"/>
          <w:szCs w:val="20"/>
        </w:rPr>
        <w:t xml:space="preserve">i resorty </w:t>
      </w:r>
      <w:r w:rsidR="00374235" w:rsidRPr="002E503E">
        <w:rPr>
          <w:rFonts w:ascii="Verdana" w:hAnsi="Verdana"/>
          <w:sz w:val="20"/>
          <w:szCs w:val="20"/>
        </w:rPr>
        <w:t>w toku konsultacji projektu nowelizacji ustawy wskazuje</w:t>
      </w:r>
      <w:r w:rsidR="00C964E0">
        <w:rPr>
          <w:rFonts w:ascii="Verdana" w:hAnsi="Verdana"/>
          <w:sz w:val="20"/>
          <w:szCs w:val="20"/>
        </w:rPr>
        <w:t>,</w:t>
      </w:r>
      <w:r w:rsidR="00374235" w:rsidRPr="002E503E">
        <w:rPr>
          <w:rFonts w:ascii="Verdana" w:hAnsi="Verdana"/>
          <w:sz w:val="20"/>
          <w:szCs w:val="20"/>
        </w:rPr>
        <w:t xml:space="preserve"> iż zagadnienie to wymaga dalszych</w:t>
      </w:r>
      <w:r w:rsidR="00C964E0">
        <w:rPr>
          <w:rFonts w:ascii="Verdana" w:hAnsi="Verdana"/>
          <w:sz w:val="20"/>
          <w:szCs w:val="20"/>
        </w:rPr>
        <w:t xml:space="preserve"> dyskusji z punktu widzenia celów</w:t>
      </w:r>
      <w:r w:rsidR="00374235" w:rsidRPr="002E503E">
        <w:rPr>
          <w:rFonts w:ascii="Verdana" w:hAnsi="Verdana"/>
          <w:sz w:val="20"/>
          <w:szCs w:val="20"/>
        </w:rPr>
        <w:t xml:space="preserve"> zamówień</w:t>
      </w:r>
      <w:r w:rsidR="00454144" w:rsidRPr="002E503E">
        <w:rPr>
          <w:rFonts w:ascii="Verdana" w:hAnsi="Verdana"/>
          <w:sz w:val="20"/>
          <w:szCs w:val="20"/>
        </w:rPr>
        <w:t xml:space="preserve"> publicznych</w:t>
      </w:r>
      <w:r w:rsidR="00C964E0">
        <w:rPr>
          <w:rFonts w:ascii="Verdana" w:hAnsi="Verdana"/>
          <w:sz w:val="20"/>
          <w:szCs w:val="20"/>
        </w:rPr>
        <w:t xml:space="preserve"> i przepisów dyrektywy</w:t>
      </w:r>
      <w:r w:rsidR="00454144" w:rsidRPr="002E503E">
        <w:rPr>
          <w:rFonts w:ascii="Verdana" w:hAnsi="Verdana"/>
          <w:sz w:val="20"/>
          <w:szCs w:val="20"/>
        </w:rPr>
        <w:t>.</w:t>
      </w:r>
      <w:r w:rsidR="00877DC5">
        <w:rPr>
          <w:rFonts w:ascii="Verdana" w:hAnsi="Verdana"/>
          <w:sz w:val="20"/>
          <w:szCs w:val="20"/>
        </w:rPr>
        <w:t xml:space="preserve"> </w:t>
      </w:r>
      <w:r w:rsidR="00D5744F">
        <w:rPr>
          <w:rFonts w:ascii="Verdana" w:hAnsi="Verdana"/>
          <w:sz w:val="20"/>
          <w:szCs w:val="20"/>
        </w:rPr>
        <w:t xml:space="preserve">Niezależnie od powyższego treść obecnie projektowanego przepisu </w:t>
      </w:r>
      <w:r w:rsidR="00420BAC" w:rsidRPr="008831A0">
        <w:rPr>
          <w:rFonts w:ascii="Verdana" w:hAnsi="Verdana"/>
          <w:sz w:val="20"/>
          <w:szCs w:val="20"/>
        </w:rPr>
        <w:t>wymaga doprecyzowania poprzez jednoznaczne sformułowanie</w:t>
      </w:r>
      <w:r w:rsidR="00420BAC" w:rsidRPr="00100C25">
        <w:rPr>
          <w:rFonts w:ascii="Verdana" w:hAnsi="Verdana"/>
          <w:sz w:val="20"/>
          <w:szCs w:val="20"/>
        </w:rPr>
        <w:t xml:space="preserve"> czy określenie czynności, w zakresie realizacji zamówienia przez osoby zatrudnione na podstawie umowy o pracę powinno obejmować wszystkie czynności, jeżeli ich wykonanie obejmuje wykonywanie pracy określonej w art. 22 § 1 ustawy Kodeks pracy, czy też zamawiający ma uprawnienie do dokonania wyboru, które z tych </w:t>
      </w:r>
      <w:r w:rsidR="00420BAC" w:rsidRPr="000722BF">
        <w:rPr>
          <w:rFonts w:ascii="Verdana" w:hAnsi="Verdana"/>
          <w:sz w:val="20"/>
          <w:szCs w:val="20"/>
        </w:rPr>
        <w:t xml:space="preserve">czynności niezbędnych do realizacji zamówienia albo które z osób, pełniących dane funkcje </w:t>
      </w:r>
      <w:r w:rsidR="00420BAC" w:rsidRPr="00A802E5">
        <w:rPr>
          <w:rFonts w:ascii="Verdana" w:hAnsi="Verdana"/>
          <w:sz w:val="20"/>
          <w:szCs w:val="20"/>
        </w:rPr>
        <w:t>(np. kluczowy personel) obejmie obowiązkiem zatrudnienia na podstawie</w:t>
      </w:r>
      <w:r w:rsidR="00420BAC" w:rsidRPr="00BE5A64">
        <w:rPr>
          <w:rFonts w:ascii="Verdana" w:hAnsi="Verdana"/>
          <w:sz w:val="20"/>
          <w:szCs w:val="20"/>
        </w:rPr>
        <w:t xml:space="preserve"> umowy o pracę.</w:t>
      </w:r>
    </w:p>
    <w:p w:rsidR="00C964E0" w:rsidRPr="002E503E" w:rsidRDefault="00C964E0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C964E0" w:rsidRPr="00C964E0" w:rsidRDefault="00F96F35" w:rsidP="00C964E0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C964E0">
        <w:rPr>
          <w:rFonts w:ascii="Verdana" w:hAnsi="Verdana"/>
          <w:b/>
          <w:sz w:val="20"/>
          <w:szCs w:val="20"/>
        </w:rPr>
        <w:t>OPIS PRZEDMIOTU ZAMÓWIENIA (OPZ)</w:t>
      </w:r>
    </w:p>
    <w:p w:rsidR="00C964E0" w:rsidRPr="00C964E0" w:rsidRDefault="00C964E0" w:rsidP="00C964E0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C964E0">
        <w:rPr>
          <w:rFonts w:ascii="Verdana" w:hAnsi="Verdana"/>
          <w:sz w:val="20"/>
          <w:szCs w:val="20"/>
        </w:rPr>
        <w:t>Podsumowanie uwag poszczególnych organizacji w obszarze „</w:t>
      </w:r>
      <w:r>
        <w:rPr>
          <w:rFonts w:ascii="Verdana" w:hAnsi="Verdana"/>
          <w:sz w:val="20"/>
          <w:szCs w:val="20"/>
        </w:rPr>
        <w:t>OPZ</w:t>
      </w:r>
      <w:r w:rsidRPr="00C964E0">
        <w:rPr>
          <w:rFonts w:ascii="Verdana" w:hAnsi="Verdana"/>
          <w:sz w:val="20"/>
          <w:szCs w:val="20"/>
        </w:rPr>
        <w:t>”</w:t>
      </w:r>
    </w:p>
    <w:p w:rsidR="00154420" w:rsidRPr="002E503E" w:rsidRDefault="00154420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E503E">
        <w:rPr>
          <w:rFonts w:ascii="Verdana" w:hAnsi="Verdana"/>
          <w:b/>
          <w:sz w:val="20"/>
          <w:szCs w:val="20"/>
        </w:rPr>
        <w:t>Uwagi art. 29 ust 1</w:t>
      </w:r>
    </w:p>
    <w:p w:rsidR="00EA54D3" w:rsidRPr="002E503E" w:rsidRDefault="00F07348" w:rsidP="0089712B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Brak uwag</w:t>
      </w:r>
    </w:p>
    <w:p w:rsidR="00154420" w:rsidRPr="002E503E" w:rsidRDefault="00154420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E503E">
        <w:rPr>
          <w:rFonts w:ascii="Verdana" w:hAnsi="Verdana"/>
          <w:b/>
          <w:sz w:val="20"/>
          <w:szCs w:val="20"/>
          <w:u w:val="single"/>
        </w:rPr>
        <w:t>Rekomendacja Grupy PZP – art. 29 ust 1</w:t>
      </w:r>
    </w:p>
    <w:p w:rsidR="00D066FD" w:rsidRDefault="00D066FD" w:rsidP="00D066F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Postulat Grupy PZP w zakresie niewykreślania zwrotu „</w:t>
      </w:r>
      <w:r w:rsidRPr="00F07348">
        <w:rPr>
          <w:rFonts w:ascii="Verdana" w:hAnsi="Verdana"/>
          <w:i/>
          <w:sz w:val="20"/>
          <w:szCs w:val="20"/>
        </w:rPr>
        <w:t>wyczerpujący</w:t>
      </w:r>
      <w:r>
        <w:rPr>
          <w:rFonts w:ascii="Verdana" w:hAnsi="Verdana"/>
          <w:sz w:val="20"/>
          <w:szCs w:val="20"/>
        </w:rPr>
        <w:t>” został uwzględniony.</w:t>
      </w:r>
    </w:p>
    <w:p w:rsidR="00B4223D" w:rsidRPr="002E503E" w:rsidRDefault="00B4223D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A13E09" w:rsidRPr="00B4223D" w:rsidRDefault="00F96F35" w:rsidP="00B4223D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B4223D">
        <w:rPr>
          <w:rFonts w:ascii="Verdana" w:hAnsi="Verdana"/>
          <w:b/>
          <w:sz w:val="20"/>
          <w:szCs w:val="20"/>
        </w:rPr>
        <w:t>PODWYKONAWSTWO</w:t>
      </w:r>
    </w:p>
    <w:p w:rsidR="00B4223D" w:rsidRPr="00B4223D" w:rsidRDefault="00B4223D" w:rsidP="00B422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4223D">
        <w:rPr>
          <w:rFonts w:ascii="Verdana" w:hAnsi="Verdana"/>
          <w:sz w:val="20"/>
          <w:szCs w:val="20"/>
        </w:rPr>
        <w:t>Podsumowanie uwag poszczególnych organizacji w obszarze „</w:t>
      </w:r>
      <w:r>
        <w:rPr>
          <w:rFonts w:ascii="Verdana" w:hAnsi="Verdana"/>
          <w:sz w:val="20"/>
          <w:szCs w:val="20"/>
        </w:rPr>
        <w:t>Podwykonawstwo</w:t>
      </w:r>
      <w:r w:rsidRPr="00B4223D">
        <w:rPr>
          <w:rFonts w:ascii="Verdana" w:hAnsi="Verdana"/>
          <w:sz w:val="20"/>
          <w:szCs w:val="20"/>
        </w:rPr>
        <w:t>”</w:t>
      </w:r>
    </w:p>
    <w:p w:rsidR="0010540D" w:rsidRPr="002E503E" w:rsidRDefault="0010540D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E503E">
        <w:rPr>
          <w:rFonts w:ascii="Verdana" w:hAnsi="Verdana"/>
          <w:b/>
          <w:sz w:val="20"/>
          <w:szCs w:val="20"/>
        </w:rPr>
        <w:t>Uwagi art. 36ba ust 1</w:t>
      </w:r>
    </w:p>
    <w:p w:rsidR="005A2394" w:rsidRPr="002E503E" w:rsidRDefault="0010540D" w:rsidP="0089712B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>usunięcie ust 1) – OIGD,</w:t>
      </w:r>
    </w:p>
    <w:p w:rsidR="0010540D" w:rsidRPr="002E503E" w:rsidRDefault="0010540D" w:rsidP="0089712B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tylko dla podmiotów trzecich a dla dalszych podwykonawców już nie żądać dokumentów potwierdzających brak podstaw do wykluczenia– </w:t>
      </w:r>
      <w:r w:rsidR="005007DE">
        <w:rPr>
          <w:rFonts w:ascii="Verdana" w:hAnsi="Verdana"/>
          <w:sz w:val="20"/>
          <w:szCs w:val="20"/>
        </w:rPr>
        <w:t xml:space="preserve">OIGD, </w:t>
      </w:r>
      <w:r w:rsidRPr="002E503E">
        <w:rPr>
          <w:rFonts w:ascii="Verdana" w:hAnsi="Verdana"/>
          <w:sz w:val="20"/>
          <w:szCs w:val="20"/>
        </w:rPr>
        <w:t>SIDIR</w:t>
      </w:r>
      <w:r w:rsidR="005007DE">
        <w:rPr>
          <w:rFonts w:ascii="Verdana" w:hAnsi="Verdana"/>
          <w:sz w:val="20"/>
          <w:szCs w:val="20"/>
        </w:rPr>
        <w:t>, PZPB</w:t>
      </w:r>
    </w:p>
    <w:p w:rsidR="00A605B9" w:rsidRPr="002E503E" w:rsidRDefault="00A605B9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E503E">
        <w:rPr>
          <w:rFonts w:ascii="Verdana" w:hAnsi="Verdana"/>
          <w:b/>
          <w:sz w:val="20"/>
          <w:szCs w:val="20"/>
          <w:u w:val="single"/>
        </w:rPr>
        <w:t>Rekomendacja Grupy PZP – art. 36</w:t>
      </w:r>
    </w:p>
    <w:p w:rsidR="0066481A" w:rsidRDefault="00486C90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27E6A">
        <w:rPr>
          <w:rFonts w:ascii="Verdana" w:hAnsi="Verdana"/>
          <w:i/>
          <w:sz w:val="20"/>
          <w:szCs w:val="20"/>
        </w:rPr>
        <w:t xml:space="preserve">Stanowisko </w:t>
      </w:r>
      <w:r>
        <w:rPr>
          <w:rFonts w:ascii="Verdana" w:hAnsi="Verdana"/>
          <w:sz w:val="20"/>
          <w:szCs w:val="20"/>
        </w:rPr>
        <w:t xml:space="preserve">Grupy PZP pozostaje aktualne </w:t>
      </w:r>
      <w:r w:rsidR="002374CD" w:rsidRPr="002E503E">
        <w:rPr>
          <w:rFonts w:ascii="Verdana" w:hAnsi="Verdana"/>
          <w:sz w:val="20"/>
          <w:szCs w:val="20"/>
        </w:rPr>
        <w:t>w zakresie żądania od podwykonawców dokumentów na potwierdzenie braku podstaw do wykluczenia</w:t>
      </w:r>
      <w:r w:rsidRPr="00486C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2E503E">
        <w:rPr>
          <w:rFonts w:ascii="Verdana" w:hAnsi="Verdana"/>
          <w:sz w:val="20"/>
          <w:szCs w:val="20"/>
        </w:rPr>
        <w:t>art. 36 ba ust 1</w:t>
      </w:r>
      <w:r>
        <w:rPr>
          <w:rFonts w:ascii="Verdana" w:hAnsi="Verdana"/>
          <w:sz w:val="20"/>
          <w:szCs w:val="20"/>
        </w:rPr>
        <w:t>)</w:t>
      </w:r>
      <w:r w:rsidR="00AF3175">
        <w:rPr>
          <w:rFonts w:ascii="Verdana" w:hAnsi="Verdana"/>
          <w:sz w:val="20"/>
          <w:szCs w:val="20"/>
        </w:rPr>
        <w:t>. Grupa PZP wskazywała, iż stanowiska środowiska</w:t>
      </w:r>
      <w:r w:rsidR="002374CD" w:rsidRPr="002E503E">
        <w:rPr>
          <w:rFonts w:ascii="Verdana" w:hAnsi="Verdana"/>
          <w:sz w:val="20"/>
          <w:szCs w:val="20"/>
        </w:rPr>
        <w:t xml:space="preserve"> są rozbieżne, </w:t>
      </w:r>
      <w:r w:rsidR="00AF3175">
        <w:rPr>
          <w:rFonts w:ascii="Verdana" w:hAnsi="Verdana"/>
          <w:sz w:val="20"/>
          <w:szCs w:val="20"/>
        </w:rPr>
        <w:t>co</w:t>
      </w:r>
      <w:r w:rsidR="00FF34F8" w:rsidRPr="002E503E">
        <w:rPr>
          <w:rFonts w:ascii="Verdana" w:hAnsi="Verdana"/>
          <w:sz w:val="20"/>
          <w:szCs w:val="20"/>
        </w:rPr>
        <w:t xml:space="preserve"> wskazuje na konieczność dalszej dyskusji i oceny przepisu </w:t>
      </w:r>
      <w:r w:rsidR="00C312BA" w:rsidRPr="002E503E">
        <w:rPr>
          <w:rFonts w:ascii="Verdana" w:hAnsi="Verdana"/>
          <w:sz w:val="20"/>
          <w:szCs w:val="20"/>
        </w:rPr>
        <w:t>z punktu widzenia celów dyrektyw</w:t>
      </w:r>
      <w:r w:rsidR="00AF3175">
        <w:rPr>
          <w:rFonts w:ascii="Verdana" w:hAnsi="Verdana"/>
          <w:sz w:val="20"/>
          <w:szCs w:val="20"/>
        </w:rPr>
        <w:t>y i kosztów (skutków regulacji).</w:t>
      </w:r>
      <w:r w:rsidR="00CC6DF9">
        <w:rPr>
          <w:rFonts w:ascii="Verdana" w:hAnsi="Verdana"/>
          <w:sz w:val="20"/>
          <w:szCs w:val="20"/>
        </w:rPr>
        <w:t xml:space="preserve"> Niezależnie od powyższego treść obecnie projektowanego przepisu jest nieprecyzyjna w zakresie kręgu podwykonawców zobowiązanych do przedstawienia dokumentów potwierdzających brak zaistnienia podstaw wykluczenia oraz spełniania warunków udziału w postępowaniu.</w:t>
      </w:r>
    </w:p>
    <w:p w:rsidR="00E16C22" w:rsidRDefault="00E16C22" w:rsidP="00E16C22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Postulat </w:t>
      </w:r>
      <w:r w:rsidRPr="002E503E">
        <w:rPr>
          <w:rFonts w:ascii="Verdana" w:hAnsi="Verdana"/>
          <w:sz w:val="20"/>
          <w:szCs w:val="20"/>
        </w:rPr>
        <w:t>Grup</w:t>
      </w:r>
      <w:r>
        <w:rPr>
          <w:rFonts w:ascii="Verdana" w:hAnsi="Verdana"/>
          <w:sz w:val="20"/>
          <w:szCs w:val="20"/>
        </w:rPr>
        <w:t>y</w:t>
      </w:r>
      <w:r w:rsidRPr="002E503E">
        <w:rPr>
          <w:rFonts w:ascii="Verdana" w:hAnsi="Verdana"/>
          <w:sz w:val="20"/>
          <w:szCs w:val="20"/>
        </w:rPr>
        <w:t xml:space="preserve"> PZP w zakresie zastrzeżenia obowiązku osobistego wykonania części zamówienia przez wykonawcę pod kątem braku </w:t>
      </w:r>
      <w:r>
        <w:rPr>
          <w:rFonts w:ascii="Verdana" w:hAnsi="Verdana"/>
          <w:sz w:val="20"/>
          <w:szCs w:val="20"/>
        </w:rPr>
        <w:t xml:space="preserve">możliwości </w:t>
      </w:r>
      <w:r w:rsidRPr="002E503E">
        <w:rPr>
          <w:rFonts w:ascii="Verdana" w:hAnsi="Verdana"/>
          <w:sz w:val="20"/>
          <w:szCs w:val="20"/>
        </w:rPr>
        <w:t>powoływania się na zasoby podmiotu trzeciego w takim przypadku</w:t>
      </w:r>
      <w:r>
        <w:rPr>
          <w:rFonts w:ascii="Verdana" w:hAnsi="Verdana"/>
          <w:sz w:val="20"/>
          <w:szCs w:val="20"/>
        </w:rPr>
        <w:t xml:space="preserve"> został uwzględniony</w:t>
      </w:r>
      <w:r w:rsidRPr="002E503E">
        <w:rPr>
          <w:rFonts w:ascii="Verdana" w:hAnsi="Verdana"/>
          <w:sz w:val="20"/>
          <w:szCs w:val="20"/>
        </w:rPr>
        <w:t xml:space="preserve">. </w:t>
      </w:r>
    </w:p>
    <w:p w:rsidR="00E16C22" w:rsidRPr="002E503E" w:rsidRDefault="00E16C22" w:rsidP="00E16C22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Postulat </w:t>
      </w:r>
      <w:r w:rsidRPr="002E503E">
        <w:rPr>
          <w:rFonts w:ascii="Verdana" w:hAnsi="Verdana"/>
          <w:sz w:val="20"/>
          <w:szCs w:val="20"/>
        </w:rPr>
        <w:t>Grup</w:t>
      </w:r>
      <w:r>
        <w:rPr>
          <w:rFonts w:ascii="Verdana" w:hAnsi="Verdana"/>
          <w:sz w:val="20"/>
          <w:szCs w:val="20"/>
        </w:rPr>
        <w:t xml:space="preserve">y </w:t>
      </w:r>
      <w:r w:rsidRPr="002E503E">
        <w:rPr>
          <w:rFonts w:ascii="Verdana" w:hAnsi="Verdana"/>
          <w:sz w:val="20"/>
          <w:szCs w:val="20"/>
        </w:rPr>
        <w:t>PZP w zakresie sposobu transpozycji do art. 36 przepisów art. 71 ust 2 i ust 5 dyrektywy (w zakresie art. 36</w:t>
      </w:r>
      <w:r>
        <w:rPr>
          <w:rFonts w:ascii="Verdana" w:hAnsi="Verdana"/>
          <w:sz w:val="20"/>
          <w:szCs w:val="20"/>
        </w:rPr>
        <w:t>b</w:t>
      </w:r>
      <w:r w:rsidRPr="002E503E">
        <w:rPr>
          <w:rFonts w:ascii="Verdana" w:hAnsi="Verdana"/>
          <w:sz w:val="20"/>
          <w:szCs w:val="20"/>
        </w:rPr>
        <w:t xml:space="preserve"> ust 1 </w:t>
      </w:r>
      <w:r>
        <w:rPr>
          <w:rFonts w:ascii="Verdana" w:hAnsi="Verdana"/>
          <w:sz w:val="20"/>
          <w:szCs w:val="20"/>
        </w:rPr>
        <w:t>o</w:t>
      </w:r>
      <w:r w:rsidRPr="002E503E">
        <w:rPr>
          <w:rFonts w:ascii="Verdana" w:hAnsi="Verdana"/>
          <w:sz w:val="20"/>
          <w:szCs w:val="20"/>
        </w:rPr>
        <w:t xml:space="preserve">raz </w:t>
      </w:r>
      <w:r>
        <w:rPr>
          <w:rFonts w:ascii="Verdana" w:hAnsi="Verdana"/>
          <w:sz w:val="20"/>
          <w:szCs w:val="20"/>
        </w:rPr>
        <w:t>ust</w:t>
      </w:r>
      <w:r w:rsidRPr="002E503E">
        <w:rPr>
          <w:rFonts w:ascii="Verdana" w:hAnsi="Verdana"/>
          <w:sz w:val="20"/>
          <w:szCs w:val="20"/>
        </w:rPr>
        <w:t xml:space="preserve"> 1a), </w:t>
      </w:r>
      <w:r>
        <w:rPr>
          <w:rFonts w:ascii="Verdana" w:hAnsi="Verdana"/>
          <w:sz w:val="20"/>
          <w:szCs w:val="20"/>
        </w:rPr>
        <w:t>dotyczących wskazywania przez wykonawcę nazw podwykonawców (dotyczy momentu po udzieleniu zamówienia) został uwzględniony</w:t>
      </w:r>
      <w:r w:rsidRPr="002E503E">
        <w:rPr>
          <w:rFonts w:ascii="Verdana" w:hAnsi="Verdana"/>
          <w:sz w:val="20"/>
          <w:szCs w:val="20"/>
        </w:rPr>
        <w:t>.</w:t>
      </w:r>
    </w:p>
    <w:p w:rsidR="00C639D2" w:rsidRPr="002E503E" w:rsidRDefault="00C639D2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0B65E8" w:rsidRPr="00C639D2" w:rsidRDefault="006657FE" w:rsidP="00C639D2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C639D2">
        <w:rPr>
          <w:rFonts w:ascii="Verdana" w:hAnsi="Verdana"/>
          <w:b/>
          <w:sz w:val="20"/>
          <w:szCs w:val="20"/>
        </w:rPr>
        <w:t>KRYTERIA</w:t>
      </w:r>
    </w:p>
    <w:p w:rsidR="00C639D2" w:rsidRPr="00C639D2" w:rsidRDefault="00C639D2" w:rsidP="00C639D2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C639D2">
        <w:rPr>
          <w:rFonts w:ascii="Verdana" w:hAnsi="Verdana"/>
          <w:sz w:val="20"/>
          <w:szCs w:val="20"/>
        </w:rPr>
        <w:t>Podsumowanie uwag poszczególnych organizacji w obszarze „</w:t>
      </w:r>
      <w:r>
        <w:rPr>
          <w:rFonts w:ascii="Verdana" w:hAnsi="Verdana"/>
          <w:sz w:val="20"/>
          <w:szCs w:val="20"/>
        </w:rPr>
        <w:t>Kryteria</w:t>
      </w:r>
      <w:r w:rsidRPr="00C639D2">
        <w:rPr>
          <w:rFonts w:ascii="Verdana" w:hAnsi="Verdana"/>
          <w:sz w:val="20"/>
          <w:szCs w:val="20"/>
        </w:rPr>
        <w:t>”</w:t>
      </w:r>
    </w:p>
    <w:p w:rsidR="00E5008A" w:rsidRPr="002E503E" w:rsidRDefault="00E5008A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E503E">
        <w:rPr>
          <w:rFonts w:ascii="Verdana" w:hAnsi="Verdana"/>
          <w:b/>
          <w:sz w:val="20"/>
          <w:szCs w:val="20"/>
        </w:rPr>
        <w:t>Uwagi art. 91</w:t>
      </w:r>
    </w:p>
    <w:p w:rsidR="00E5008A" w:rsidRPr="002E503E" w:rsidRDefault="00E5008A" w:rsidP="0089712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lastRenderedPageBreak/>
        <w:t xml:space="preserve">Rezygnacja z określania progu procentowego wagi kryterium ceny – </w:t>
      </w:r>
      <w:r w:rsidR="0045030E">
        <w:rPr>
          <w:rFonts w:ascii="Verdana" w:hAnsi="Verdana"/>
          <w:sz w:val="20"/>
          <w:szCs w:val="20"/>
        </w:rPr>
        <w:t xml:space="preserve">OIGD, </w:t>
      </w:r>
      <w:r w:rsidRPr="002E503E">
        <w:rPr>
          <w:rFonts w:ascii="Verdana" w:hAnsi="Verdana"/>
          <w:sz w:val="20"/>
          <w:szCs w:val="20"/>
        </w:rPr>
        <w:t>GDDKIA</w:t>
      </w:r>
      <w:r w:rsidR="0045030E">
        <w:rPr>
          <w:rFonts w:ascii="Verdana" w:hAnsi="Verdana"/>
          <w:sz w:val="20"/>
          <w:szCs w:val="20"/>
        </w:rPr>
        <w:t>, SIDIR, PZPB</w:t>
      </w:r>
    </w:p>
    <w:p w:rsidR="00F37A97" w:rsidRPr="002E503E" w:rsidRDefault="00F37A97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E503E">
        <w:rPr>
          <w:rFonts w:ascii="Verdana" w:hAnsi="Verdana"/>
          <w:b/>
          <w:sz w:val="20"/>
          <w:szCs w:val="20"/>
          <w:u w:val="single"/>
        </w:rPr>
        <w:t>Rekomendacja Grupy PZP – art. 91</w:t>
      </w:r>
    </w:p>
    <w:p w:rsidR="00885AB7" w:rsidRDefault="0045030E" w:rsidP="0045030E">
      <w:pPr>
        <w:tabs>
          <w:tab w:val="left" w:pos="0"/>
        </w:tabs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D27E6A">
        <w:rPr>
          <w:rFonts w:ascii="Verdana" w:hAnsi="Verdana"/>
          <w:i/>
          <w:sz w:val="20"/>
          <w:szCs w:val="20"/>
        </w:rPr>
        <w:t xml:space="preserve">Stanowisko </w:t>
      </w:r>
      <w:r>
        <w:rPr>
          <w:rFonts w:ascii="Verdana" w:hAnsi="Verdana"/>
          <w:sz w:val="20"/>
          <w:szCs w:val="20"/>
        </w:rPr>
        <w:t xml:space="preserve">Grupy PZP </w:t>
      </w:r>
      <w:r w:rsidR="000979E1">
        <w:rPr>
          <w:rFonts w:ascii="Verdana" w:hAnsi="Verdana"/>
          <w:sz w:val="20"/>
          <w:szCs w:val="20"/>
        </w:rPr>
        <w:t xml:space="preserve">pozostaje aktualne </w:t>
      </w:r>
      <w:r w:rsidRPr="002E503E">
        <w:rPr>
          <w:rFonts w:ascii="Verdana" w:hAnsi="Verdana"/>
          <w:sz w:val="20"/>
          <w:szCs w:val="20"/>
        </w:rPr>
        <w:t xml:space="preserve">w zakresie </w:t>
      </w:r>
      <w:r>
        <w:rPr>
          <w:rFonts w:ascii="Verdana" w:hAnsi="Verdana"/>
          <w:sz w:val="20"/>
          <w:szCs w:val="20"/>
        </w:rPr>
        <w:t xml:space="preserve">ustawowego określania progu procentowego wagi kryterium ceny. </w:t>
      </w:r>
    </w:p>
    <w:p w:rsidR="0045030E" w:rsidRDefault="00455B79" w:rsidP="0045030E">
      <w:pPr>
        <w:tabs>
          <w:tab w:val="left" w:pos="0"/>
        </w:tabs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Organizacje (za wyjątkiem </w:t>
      </w:r>
      <w:r w:rsidR="0089712B">
        <w:rPr>
          <w:rFonts w:ascii="Verdana" w:hAnsi="Verdana"/>
          <w:sz w:val="20"/>
          <w:szCs w:val="20"/>
        </w:rPr>
        <w:t>NSZZ SOLIDARNOŚĆ</w:t>
      </w:r>
      <w:r w:rsidRPr="002E503E">
        <w:rPr>
          <w:rFonts w:ascii="Verdana" w:hAnsi="Verdana"/>
          <w:sz w:val="20"/>
          <w:szCs w:val="20"/>
        </w:rPr>
        <w:t>) wskazują, iż instytucja zamawiająca posiada wyłączne prawo do każdorazowego określenia wag kryteriów w dokumentach zamówienia, a więc ustalenie wagi kryterium to domena zamawiającego, a nie państwa. Definicja oferty najkorzystniejszej nie odwołuje się także do sformułowania „</w:t>
      </w:r>
      <w:r w:rsidRPr="0045030E">
        <w:rPr>
          <w:rFonts w:ascii="Verdana" w:hAnsi="Verdana"/>
          <w:i/>
          <w:sz w:val="20"/>
          <w:szCs w:val="20"/>
        </w:rPr>
        <w:t>oferty najkorzystniejszej ekonomicznie z punktu widzenia instytucji zamawiającej</w:t>
      </w:r>
      <w:r w:rsidRPr="002E503E">
        <w:rPr>
          <w:rFonts w:ascii="Verdana" w:hAnsi="Verdana"/>
          <w:sz w:val="20"/>
          <w:szCs w:val="20"/>
        </w:rPr>
        <w:t>” jak robi to dyrektywa w art. 67 ust.</w:t>
      </w:r>
      <w:r w:rsidR="00C639D2">
        <w:rPr>
          <w:rFonts w:ascii="Verdana" w:hAnsi="Verdana"/>
          <w:sz w:val="20"/>
          <w:szCs w:val="20"/>
        </w:rPr>
        <w:t xml:space="preserve"> </w:t>
      </w:r>
      <w:r w:rsidRPr="002E503E">
        <w:rPr>
          <w:rFonts w:ascii="Verdana" w:hAnsi="Verdana"/>
          <w:sz w:val="20"/>
          <w:szCs w:val="20"/>
        </w:rPr>
        <w:t>2</w:t>
      </w:r>
      <w:r w:rsidR="00680D34" w:rsidRPr="002E503E">
        <w:rPr>
          <w:rFonts w:ascii="Verdana" w:hAnsi="Verdana"/>
          <w:sz w:val="20"/>
          <w:szCs w:val="20"/>
        </w:rPr>
        <w:t xml:space="preserve">, natomiast dobór kryteriów ma służyć wyborowi oferty najkorzystniejszej ekonomicznie z punktu widzenia </w:t>
      </w:r>
      <w:r w:rsidR="00615D56" w:rsidRPr="002E503E">
        <w:rPr>
          <w:rFonts w:ascii="Verdana" w:hAnsi="Verdana"/>
          <w:sz w:val="20"/>
          <w:szCs w:val="20"/>
        </w:rPr>
        <w:t>zamawiającego</w:t>
      </w:r>
      <w:r w:rsidRPr="002E503E">
        <w:rPr>
          <w:rFonts w:ascii="Verdana" w:hAnsi="Verdana"/>
          <w:sz w:val="20"/>
          <w:szCs w:val="20"/>
        </w:rPr>
        <w:t xml:space="preserve">. </w:t>
      </w:r>
    </w:p>
    <w:p w:rsidR="0045030E" w:rsidRDefault="0045030E" w:rsidP="0045030E">
      <w:pPr>
        <w:tabs>
          <w:tab w:val="left" w:pos="0"/>
        </w:tabs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194446">
        <w:rPr>
          <w:rFonts w:ascii="Verdana" w:hAnsi="Verdana"/>
          <w:sz w:val="20"/>
          <w:szCs w:val="20"/>
        </w:rPr>
        <w:t xml:space="preserve">skazać należy, że tożsame uwagi </w:t>
      </w:r>
      <w:r>
        <w:rPr>
          <w:rFonts w:ascii="Verdana" w:hAnsi="Verdana"/>
          <w:sz w:val="20"/>
          <w:szCs w:val="20"/>
        </w:rPr>
        <w:t xml:space="preserve">w toku konsultacji resortowych </w:t>
      </w:r>
      <w:r w:rsidRPr="00194446">
        <w:rPr>
          <w:rFonts w:ascii="Verdana" w:hAnsi="Verdana"/>
          <w:sz w:val="20"/>
          <w:szCs w:val="20"/>
        </w:rPr>
        <w:t>zgłaszały takie instytucje jak UZP, KIO czy MSZ a zatem instytucje, których opinia w zakresie zgodności przepisów krajowych z porządkiem unijnym wydaje się być kluczowa</w:t>
      </w:r>
      <w:r>
        <w:rPr>
          <w:rFonts w:ascii="Verdana" w:hAnsi="Verdana"/>
          <w:sz w:val="20"/>
          <w:szCs w:val="20"/>
        </w:rPr>
        <w:t>, przedstawiając szeroką argumentację w tym zakresie</w:t>
      </w:r>
      <w:r w:rsidRPr="0019444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Dla przykładu można wskazać, iż </w:t>
      </w:r>
      <w:r w:rsidRPr="00194446">
        <w:rPr>
          <w:rFonts w:ascii="Verdana" w:hAnsi="Verdana"/>
          <w:sz w:val="20"/>
          <w:szCs w:val="20"/>
        </w:rPr>
        <w:t xml:space="preserve">UZP w uwagach </w:t>
      </w:r>
      <w:r>
        <w:rPr>
          <w:rFonts w:ascii="Verdana" w:hAnsi="Verdana"/>
          <w:sz w:val="20"/>
          <w:szCs w:val="20"/>
        </w:rPr>
        <w:t>przywołanych</w:t>
      </w:r>
      <w:r w:rsidRPr="00194446">
        <w:rPr>
          <w:rFonts w:ascii="Verdana" w:hAnsi="Verdana"/>
          <w:sz w:val="20"/>
          <w:szCs w:val="20"/>
        </w:rPr>
        <w:t xml:space="preserve"> w tabeli rozbieżności stwierdza: </w:t>
      </w:r>
    </w:p>
    <w:p w:rsidR="0045030E" w:rsidRDefault="0045030E" w:rsidP="0045030E">
      <w:pPr>
        <w:tabs>
          <w:tab w:val="left" w:pos="0"/>
        </w:tabs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194446">
        <w:rPr>
          <w:rFonts w:ascii="Verdana" w:hAnsi="Verdana"/>
          <w:sz w:val="20"/>
          <w:szCs w:val="20"/>
        </w:rPr>
        <w:t>„</w:t>
      </w:r>
      <w:r w:rsidRPr="00C7726A">
        <w:rPr>
          <w:rFonts w:ascii="Verdana" w:hAnsi="Verdana"/>
          <w:i/>
          <w:sz w:val="20"/>
          <w:szCs w:val="20"/>
        </w:rPr>
        <w:t>Takie rozwiązanie jest sprzeczne nie tylko z nowymi dyrektywami ale również z orzecznictwem unijnym. Narzucając bowiem wagę kryteriów, ogranicza się możliwości zamawiających w sposób nieprzewidziany w prawie unijnym. Celem nowych regulacji unijnych jest wybór oferty najkorzystniejszej ekonomicznie a temu stoi na przeszkodzie narzucanie maksymalnej wagi kryterium ceny. To zamawiający bowiem wie jakie kryteria pozwolą mu na wybór oferty najkorzystniejszej ekonomicznie, nie można tym samym ograniczać ich w tym zakresie</w:t>
      </w:r>
      <w:r w:rsidRPr="00C7726A">
        <w:rPr>
          <w:rFonts w:ascii="Verdana" w:hAnsi="Verdana"/>
          <w:sz w:val="20"/>
          <w:szCs w:val="20"/>
        </w:rPr>
        <w:t xml:space="preserve">.” </w:t>
      </w:r>
    </w:p>
    <w:p w:rsidR="0045030E" w:rsidRDefault="0045030E" w:rsidP="0045030E">
      <w:pPr>
        <w:tabs>
          <w:tab w:val="left" w:pos="0"/>
        </w:tabs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E7532D">
        <w:rPr>
          <w:rFonts w:ascii="Verdana" w:hAnsi="Verdana"/>
          <w:sz w:val="20"/>
          <w:szCs w:val="20"/>
        </w:rPr>
        <w:t>Na powyższe wskazuje przytoczone w uwagach</w:t>
      </w:r>
      <w:r>
        <w:rPr>
          <w:rFonts w:ascii="Verdana" w:hAnsi="Verdana"/>
          <w:sz w:val="20"/>
          <w:szCs w:val="20"/>
        </w:rPr>
        <w:t xml:space="preserve"> Ministra Infrastruktury i Budownictwa z dnia 10.02.2016 r. </w:t>
      </w:r>
      <w:r w:rsidRPr="00E7532D">
        <w:rPr>
          <w:rFonts w:ascii="Verdana" w:hAnsi="Verdana"/>
          <w:sz w:val="20"/>
          <w:szCs w:val="20"/>
        </w:rPr>
        <w:t xml:space="preserve">orzeczenie Europejskiego Trybunału Sprawiedliwości w sprawie C-247/02 z dnia 07.10.2004 r., </w:t>
      </w:r>
      <w:r w:rsidRPr="00C7726A">
        <w:rPr>
          <w:rFonts w:ascii="Verdana" w:hAnsi="Verdana"/>
          <w:sz w:val="20"/>
          <w:szCs w:val="20"/>
        </w:rPr>
        <w:t xml:space="preserve">, ale także wyrok ETS z dnia 04.12.2003 w sprawie C-448/01, w którym Trybunał wskazał, że swoboda (zamawiającego) doboru kryteriów oceny ofert obejmuje również swobodę określania ich znaczenia (wagi). Waga poszczególnych kryteriów powinna być określona w sposób umożliwiający identyfikację oferty najkorzystniejszej w świetle przyjętych kryteriów. Ze stanowiska Trybunału wynika, że mimo, iż w praktyce najczęściej najważniejszym kryterium jest cena, w świetle prawa europejskiego możliwe jest przypisywanie również innym kryteriom oceny dużego znaczenia (zapewne nawet większego niż kryterium ceny), o ile jest to </w:t>
      </w:r>
      <w:r w:rsidRPr="00E7532D">
        <w:rPr>
          <w:rFonts w:ascii="Verdana" w:hAnsi="Verdana"/>
          <w:sz w:val="20"/>
          <w:szCs w:val="20"/>
        </w:rPr>
        <w:t>uzasadnione specyfiką zamówienia.</w:t>
      </w:r>
    </w:p>
    <w:p w:rsidR="00C04D0C" w:rsidRPr="002E503E" w:rsidRDefault="00C04D0C" w:rsidP="0045030E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04D0C" w:rsidRPr="00C04D0C" w:rsidRDefault="006657FE" w:rsidP="00C04D0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C04D0C">
        <w:rPr>
          <w:rFonts w:ascii="Verdana" w:hAnsi="Verdana"/>
          <w:b/>
          <w:sz w:val="20"/>
          <w:szCs w:val="20"/>
        </w:rPr>
        <w:t>RAŻĄCO NISKA CENA (RNC)</w:t>
      </w:r>
    </w:p>
    <w:p w:rsidR="00C04D0C" w:rsidRPr="00C04D0C" w:rsidRDefault="00C04D0C" w:rsidP="00C04D0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C04D0C">
        <w:rPr>
          <w:rFonts w:ascii="Verdana" w:hAnsi="Verdana"/>
          <w:sz w:val="20"/>
          <w:szCs w:val="20"/>
        </w:rPr>
        <w:t>Podsumowanie uwag poszczególnych organizacji w obszarze „</w:t>
      </w:r>
      <w:r>
        <w:rPr>
          <w:rFonts w:ascii="Verdana" w:hAnsi="Verdana"/>
          <w:sz w:val="20"/>
          <w:szCs w:val="20"/>
        </w:rPr>
        <w:t>RNC</w:t>
      </w:r>
      <w:r w:rsidRPr="00C04D0C">
        <w:rPr>
          <w:rFonts w:ascii="Verdana" w:hAnsi="Verdana"/>
          <w:sz w:val="20"/>
          <w:szCs w:val="20"/>
        </w:rPr>
        <w:t>”</w:t>
      </w:r>
    </w:p>
    <w:p w:rsidR="00B27CC8" w:rsidRPr="002E503E" w:rsidRDefault="00B27CC8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E503E">
        <w:rPr>
          <w:rFonts w:ascii="Verdana" w:hAnsi="Verdana"/>
          <w:b/>
          <w:sz w:val="20"/>
          <w:szCs w:val="20"/>
        </w:rPr>
        <w:t xml:space="preserve">Uwagi art. </w:t>
      </w:r>
      <w:r w:rsidR="009F51E6" w:rsidRPr="002E503E">
        <w:rPr>
          <w:rFonts w:ascii="Verdana" w:hAnsi="Verdana"/>
          <w:b/>
          <w:sz w:val="20"/>
          <w:szCs w:val="20"/>
        </w:rPr>
        <w:t>90</w:t>
      </w:r>
    </w:p>
    <w:p w:rsidR="009F51E6" w:rsidRPr="002E503E" w:rsidRDefault="00A47487" w:rsidP="0089712B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Usunięcie progu 30% </w:t>
      </w:r>
      <w:r w:rsidR="0031219F">
        <w:rPr>
          <w:rFonts w:ascii="Verdana" w:hAnsi="Verdana"/>
          <w:sz w:val="20"/>
          <w:szCs w:val="20"/>
        </w:rPr>
        <w:t xml:space="preserve">lub korekta sposobu obliczenia progu </w:t>
      </w:r>
      <w:r w:rsidRPr="002E503E">
        <w:rPr>
          <w:rFonts w:ascii="Verdana" w:hAnsi="Verdana"/>
          <w:sz w:val="20"/>
          <w:szCs w:val="20"/>
        </w:rPr>
        <w:t>- GDDKiA</w:t>
      </w:r>
    </w:p>
    <w:p w:rsidR="00A47487" w:rsidRPr="002E503E" w:rsidRDefault="00A47487" w:rsidP="0089712B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Wady sposobu obliczania progu 30% - </w:t>
      </w:r>
      <w:r w:rsidR="00604C74">
        <w:rPr>
          <w:rFonts w:ascii="Verdana" w:hAnsi="Verdana"/>
          <w:sz w:val="20"/>
          <w:szCs w:val="20"/>
        </w:rPr>
        <w:t>OIGD</w:t>
      </w:r>
    </w:p>
    <w:p w:rsidR="00A47487" w:rsidRPr="002E503E" w:rsidRDefault="00A47487" w:rsidP="00604C74">
      <w:pPr>
        <w:pStyle w:val="Akapitzlist"/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FF7357" w:rsidRPr="002E503E" w:rsidRDefault="00FF7357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E503E">
        <w:rPr>
          <w:rFonts w:ascii="Verdana" w:hAnsi="Verdana"/>
          <w:b/>
          <w:sz w:val="20"/>
          <w:szCs w:val="20"/>
          <w:u w:val="single"/>
        </w:rPr>
        <w:t>Rekomendacja Grupy PZP – art. 90</w:t>
      </w:r>
    </w:p>
    <w:p w:rsidR="001E6E31" w:rsidRPr="00BE5A64" w:rsidRDefault="0031219F" w:rsidP="001E6E31">
      <w:pPr>
        <w:tabs>
          <w:tab w:val="left" w:pos="0"/>
        </w:tabs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D27E6A">
        <w:rPr>
          <w:rFonts w:ascii="Verdana" w:hAnsi="Verdana"/>
          <w:i/>
          <w:sz w:val="20"/>
          <w:szCs w:val="20"/>
        </w:rPr>
        <w:t xml:space="preserve">Stanowisko </w:t>
      </w:r>
      <w:r>
        <w:rPr>
          <w:rFonts w:ascii="Verdana" w:hAnsi="Verdana"/>
          <w:sz w:val="20"/>
          <w:szCs w:val="20"/>
        </w:rPr>
        <w:t xml:space="preserve">Grupy PZP pozostaje częściowo aktualne. </w:t>
      </w:r>
      <w:r w:rsidR="00615D56" w:rsidRPr="002E503E">
        <w:rPr>
          <w:rFonts w:ascii="Verdana" w:hAnsi="Verdana"/>
          <w:sz w:val="20"/>
          <w:szCs w:val="20"/>
        </w:rPr>
        <w:t>Grupa robocza PZP wskaz</w:t>
      </w:r>
      <w:r>
        <w:rPr>
          <w:rFonts w:ascii="Verdana" w:hAnsi="Verdana"/>
          <w:sz w:val="20"/>
          <w:szCs w:val="20"/>
        </w:rPr>
        <w:t xml:space="preserve">ywała na </w:t>
      </w:r>
      <w:r w:rsidR="00C04D0C">
        <w:rPr>
          <w:rFonts w:ascii="Verdana" w:hAnsi="Verdana"/>
          <w:sz w:val="20"/>
          <w:szCs w:val="20"/>
        </w:rPr>
        <w:t xml:space="preserve">różnorodne </w:t>
      </w:r>
      <w:r w:rsidR="00EC0890" w:rsidRPr="002E503E">
        <w:rPr>
          <w:rFonts w:ascii="Verdana" w:hAnsi="Verdana"/>
          <w:sz w:val="20"/>
          <w:szCs w:val="20"/>
        </w:rPr>
        <w:t>okoliczności, które mogą wystąpić na etapie przetargu</w:t>
      </w:r>
      <w:r w:rsidR="00632568">
        <w:rPr>
          <w:rFonts w:ascii="Verdana" w:hAnsi="Verdana"/>
          <w:sz w:val="20"/>
          <w:szCs w:val="20"/>
        </w:rPr>
        <w:t xml:space="preserve"> (np. zmiana treści SIWZ, zakresu zamówienia, warunków umowy, wariantowość ofert, kryteria pozacenowe, oferty niezgodne z treścią SIWZ</w:t>
      </w:r>
      <w:r w:rsidR="00EC0890" w:rsidRPr="002E503E">
        <w:rPr>
          <w:rFonts w:ascii="Verdana" w:hAnsi="Verdana"/>
          <w:sz w:val="20"/>
          <w:szCs w:val="20"/>
        </w:rPr>
        <w:t>,</w:t>
      </w:r>
      <w:r w:rsidR="00632568">
        <w:rPr>
          <w:rFonts w:ascii="Verdana" w:hAnsi="Verdana"/>
          <w:sz w:val="20"/>
          <w:szCs w:val="20"/>
        </w:rPr>
        <w:t xml:space="preserve"> oferty zawierające błędy w obliczeniu ceny, etc.)</w:t>
      </w:r>
      <w:r w:rsidR="00EC0890" w:rsidRPr="002E50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powodujące</w:t>
      </w:r>
      <w:r w:rsidR="00C04D0C">
        <w:rPr>
          <w:rFonts w:ascii="Verdana" w:hAnsi="Verdana"/>
          <w:sz w:val="20"/>
          <w:szCs w:val="20"/>
        </w:rPr>
        <w:t xml:space="preserve">, iż </w:t>
      </w:r>
      <w:r w:rsidR="00EC0890" w:rsidRPr="002E503E">
        <w:rPr>
          <w:rFonts w:ascii="Verdana" w:hAnsi="Verdana"/>
          <w:sz w:val="20"/>
          <w:szCs w:val="20"/>
        </w:rPr>
        <w:t>próg 30% nie powinien mieć charakteru automatycznego weryfikatora przesłanek RNC.</w:t>
      </w:r>
      <w:r w:rsidR="00615D56" w:rsidRPr="002E50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Przepisy zostały zmodyfikowane w taki sposób, iż do obliczenia 30% rozbieżności cenowej pomiędzy ofertami nie należy uwzględniać ofert podlegających odrzuceniu.</w:t>
      </w:r>
      <w:r w:rsidR="001E6E31">
        <w:rPr>
          <w:rFonts w:ascii="Verdana" w:hAnsi="Verdana"/>
          <w:sz w:val="20"/>
          <w:szCs w:val="20"/>
        </w:rPr>
        <w:t xml:space="preserve"> </w:t>
      </w:r>
      <w:r w:rsidR="001E6E31">
        <w:rPr>
          <w:rFonts w:ascii="Verdana" w:eastAsia="Calibri" w:hAnsi="Verdana"/>
          <w:sz w:val="20"/>
          <w:szCs w:val="20"/>
        </w:rPr>
        <w:t>Niemniej jednak</w:t>
      </w:r>
      <w:r w:rsidR="001E6E31" w:rsidRPr="000722BF">
        <w:rPr>
          <w:rFonts w:ascii="Verdana" w:eastAsia="Calibri" w:hAnsi="Verdana"/>
          <w:sz w:val="20"/>
          <w:szCs w:val="20"/>
        </w:rPr>
        <w:t xml:space="preserve"> </w:t>
      </w:r>
      <w:r w:rsidR="001E6E31">
        <w:rPr>
          <w:rFonts w:ascii="Verdana" w:eastAsia="Calibri" w:hAnsi="Verdana"/>
          <w:sz w:val="20"/>
          <w:szCs w:val="20"/>
        </w:rPr>
        <w:t xml:space="preserve">nie jest to zmiana wystarczająca i należy ponownie </w:t>
      </w:r>
      <w:r w:rsidR="001E6E31">
        <w:rPr>
          <w:rFonts w:ascii="Verdana" w:eastAsia="Calibri" w:hAnsi="Verdana"/>
          <w:sz w:val="20"/>
          <w:szCs w:val="20"/>
        </w:rPr>
        <w:lastRenderedPageBreak/>
        <w:t>rozważyć sposób określania progu 30% także poprzez odniesienie do aktualnej na moment otwarcia ofert wartości zamówienia (a nie szacunkowej wartości +VAT) lub też jego usunięcie.</w:t>
      </w:r>
    </w:p>
    <w:p w:rsidR="00632568" w:rsidRPr="002E503E" w:rsidRDefault="00632568" w:rsidP="001E6E31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F7357" w:rsidRPr="00632568" w:rsidRDefault="006657FE" w:rsidP="00632568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632568">
        <w:rPr>
          <w:rFonts w:ascii="Verdana" w:hAnsi="Verdana"/>
          <w:b/>
          <w:sz w:val="20"/>
          <w:szCs w:val="20"/>
        </w:rPr>
        <w:t>MODYFIKACJE UMÓW, PRZEPISY PRZEJŚCIOWE</w:t>
      </w:r>
    </w:p>
    <w:p w:rsidR="00632568" w:rsidRPr="00632568" w:rsidRDefault="00632568" w:rsidP="00632568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32568">
        <w:rPr>
          <w:rFonts w:ascii="Verdana" w:hAnsi="Verdana"/>
          <w:sz w:val="20"/>
          <w:szCs w:val="20"/>
        </w:rPr>
        <w:t>Podsumowanie uwag poszczególnych organizacji w obszarze „</w:t>
      </w:r>
      <w:r>
        <w:rPr>
          <w:rFonts w:ascii="Verdana" w:hAnsi="Verdana"/>
          <w:sz w:val="20"/>
          <w:szCs w:val="20"/>
        </w:rPr>
        <w:t>Modyfikacje umów, przepisy przejściowe</w:t>
      </w:r>
      <w:r w:rsidRPr="00632568">
        <w:rPr>
          <w:rFonts w:ascii="Verdana" w:hAnsi="Verdana"/>
          <w:sz w:val="20"/>
          <w:szCs w:val="20"/>
        </w:rPr>
        <w:t>”</w:t>
      </w:r>
    </w:p>
    <w:p w:rsidR="00C97D4E" w:rsidRPr="002E503E" w:rsidRDefault="00C97D4E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E503E">
        <w:rPr>
          <w:rFonts w:ascii="Verdana" w:hAnsi="Verdana"/>
          <w:b/>
          <w:sz w:val="20"/>
          <w:szCs w:val="20"/>
        </w:rPr>
        <w:t>Uwagi przepisy przejściowe art. 7 ust 2 i 3</w:t>
      </w:r>
      <w:r w:rsidR="00931FC2">
        <w:rPr>
          <w:rFonts w:ascii="Verdana" w:hAnsi="Verdana"/>
          <w:b/>
          <w:sz w:val="20"/>
          <w:szCs w:val="20"/>
        </w:rPr>
        <w:t xml:space="preserve"> – obecnie art. 9 i 14</w:t>
      </w:r>
    </w:p>
    <w:p w:rsidR="00C97D4E" w:rsidRPr="002E503E" w:rsidRDefault="00C97D4E" w:rsidP="0089712B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>objęcie z</w:t>
      </w:r>
      <w:r w:rsidR="0029742C">
        <w:rPr>
          <w:rFonts w:ascii="Verdana" w:hAnsi="Verdana"/>
          <w:sz w:val="20"/>
          <w:szCs w:val="20"/>
        </w:rPr>
        <w:t>mian do</w:t>
      </w:r>
      <w:r w:rsidRPr="002E503E">
        <w:rPr>
          <w:rFonts w:ascii="Verdana" w:hAnsi="Verdana"/>
          <w:sz w:val="20"/>
          <w:szCs w:val="20"/>
        </w:rPr>
        <w:t xml:space="preserve"> umów </w:t>
      </w:r>
      <w:r w:rsidR="0029742C">
        <w:rPr>
          <w:rFonts w:ascii="Verdana" w:hAnsi="Verdana"/>
          <w:sz w:val="20"/>
          <w:szCs w:val="20"/>
        </w:rPr>
        <w:t xml:space="preserve">zawartych w wyniku postępowań wszczętych przed wejściem w życie nowelizacji </w:t>
      </w:r>
      <w:r w:rsidRPr="002E503E">
        <w:rPr>
          <w:rFonts w:ascii="Verdana" w:hAnsi="Verdana"/>
          <w:sz w:val="20"/>
          <w:szCs w:val="20"/>
        </w:rPr>
        <w:t>nowymi przepisami</w:t>
      </w:r>
      <w:r w:rsidR="0029742C">
        <w:rPr>
          <w:rFonts w:ascii="Verdana" w:hAnsi="Verdana"/>
          <w:sz w:val="20"/>
          <w:szCs w:val="20"/>
        </w:rPr>
        <w:t xml:space="preserve"> </w:t>
      </w:r>
      <w:r w:rsidRPr="002E503E">
        <w:rPr>
          <w:rFonts w:ascii="Verdana" w:hAnsi="Verdana"/>
          <w:sz w:val="20"/>
          <w:szCs w:val="20"/>
        </w:rPr>
        <w:t>– GDDKiA, SIDIR</w:t>
      </w:r>
      <w:r w:rsidR="0029742C">
        <w:rPr>
          <w:rFonts w:ascii="Verdana" w:hAnsi="Verdana"/>
          <w:sz w:val="20"/>
          <w:szCs w:val="20"/>
        </w:rPr>
        <w:t>, PZPB</w:t>
      </w:r>
    </w:p>
    <w:p w:rsidR="004A4F80" w:rsidRPr="002E503E" w:rsidRDefault="004A4F80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E503E">
        <w:rPr>
          <w:rFonts w:ascii="Verdana" w:hAnsi="Verdana"/>
          <w:b/>
          <w:sz w:val="20"/>
          <w:szCs w:val="20"/>
          <w:u w:val="single"/>
        </w:rPr>
        <w:t xml:space="preserve">Rekomendacja Grupy PZP – przepisy przejściowe art. </w:t>
      </w:r>
      <w:r w:rsidR="00931FC2">
        <w:rPr>
          <w:rFonts w:ascii="Verdana" w:hAnsi="Verdana"/>
          <w:b/>
          <w:sz w:val="20"/>
          <w:szCs w:val="20"/>
          <w:u w:val="single"/>
        </w:rPr>
        <w:t>9 i 14</w:t>
      </w:r>
    </w:p>
    <w:p w:rsidR="0029742C" w:rsidRPr="00E20BE9" w:rsidRDefault="0029742C" w:rsidP="0029742C">
      <w:pPr>
        <w:tabs>
          <w:tab w:val="left" w:pos="0"/>
        </w:tabs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D27E6A">
        <w:rPr>
          <w:rFonts w:ascii="Verdana" w:hAnsi="Verdana"/>
          <w:i/>
          <w:sz w:val="20"/>
          <w:szCs w:val="20"/>
        </w:rPr>
        <w:t xml:space="preserve">Stanowisko </w:t>
      </w:r>
      <w:r>
        <w:rPr>
          <w:rFonts w:ascii="Verdana" w:hAnsi="Verdana"/>
          <w:sz w:val="20"/>
          <w:szCs w:val="20"/>
        </w:rPr>
        <w:t xml:space="preserve">Grupy PZP pozostaje częściowo aktualne. </w:t>
      </w:r>
      <w:r w:rsidR="00244627" w:rsidRPr="002E503E">
        <w:rPr>
          <w:rFonts w:ascii="Verdana" w:hAnsi="Verdana"/>
          <w:sz w:val="20"/>
          <w:szCs w:val="20"/>
        </w:rPr>
        <w:t>Grupa robocza PZP wskaz</w:t>
      </w:r>
      <w:r>
        <w:rPr>
          <w:rFonts w:ascii="Verdana" w:hAnsi="Verdana"/>
          <w:sz w:val="20"/>
          <w:szCs w:val="20"/>
        </w:rPr>
        <w:t>ywała</w:t>
      </w:r>
      <w:r w:rsidR="00244627" w:rsidRPr="002E503E">
        <w:rPr>
          <w:rFonts w:ascii="Verdana" w:hAnsi="Verdana"/>
          <w:sz w:val="20"/>
          <w:szCs w:val="20"/>
        </w:rPr>
        <w:t xml:space="preserve"> na </w:t>
      </w:r>
      <w:r w:rsidR="00632568">
        <w:rPr>
          <w:rFonts w:ascii="Verdana" w:hAnsi="Verdana"/>
          <w:sz w:val="20"/>
          <w:szCs w:val="20"/>
        </w:rPr>
        <w:t xml:space="preserve">szczególną </w:t>
      </w:r>
      <w:r w:rsidR="00244627" w:rsidRPr="002E503E">
        <w:rPr>
          <w:rFonts w:ascii="Verdana" w:hAnsi="Verdana"/>
          <w:sz w:val="20"/>
          <w:szCs w:val="20"/>
        </w:rPr>
        <w:t>istotność zmiany przepisów przejściowych, których obecne brzmienie uniemożliwi zawieranie umów d</w:t>
      </w:r>
      <w:r>
        <w:rPr>
          <w:rFonts w:ascii="Verdana" w:hAnsi="Verdana"/>
          <w:sz w:val="20"/>
          <w:szCs w:val="20"/>
        </w:rPr>
        <w:t>odatkowych i uzupełniających w</w:t>
      </w:r>
      <w:r w:rsidR="00244627" w:rsidRPr="002E503E">
        <w:rPr>
          <w:rFonts w:ascii="Verdana" w:hAnsi="Verdana"/>
          <w:sz w:val="20"/>
          <w:szCs w:val="20"/>
        </w:rPr>
        <w:t xml:space="preserve"> zadaniach inwes</w:t>
      </w:r>
      <w:r w:rsidR="004A7900" w:rsidRPr="002E503E">
        <w:rPr>
          <w:rFonts w:ascii="Verdana" w:hAnsi="Verdana"/>
          <w:sz w:val="20"/>
          <w:szCs w:val="20"/>
        </w:rPr>
        <w:t>tycyjnych</w:t>
      </w:r>
      <w:r>
        <w:rPr>
          <w:rFonts w:ascii="Verdana" w:hAnsi="Verdana"/>
          <w:sz w:val="20"/>
          <w:szCs w:val="20"/>
        </w:rPr>
        <w:t>, dla których toczą się postępowania przetargowe</w:t>
      </w:r>
      <w:r w:rsidR="004A7900" w:rsidRPr="002E503E">
        <w:rPr>
          <w:rFonts w:ascii="Verdana" w:hAnsi="Verdana"/>
          <w:sz w:val="20"/>
          <w:szCs w:val="20"/>
        </w:rPr>
        <w:t>.</w:t>
      </w:r>
      <w:r w:rsidR="00CF65FF">
        <w:rPr>
          <w:rFonts w:ascii="Verdana" w:hAnsi="Verdana"/>
          <w:sz w:val="20"/>
          <w:szCs w:val="20"/>
        </w:rPr>
        <w:t xml:space="preserve"> </w:t>
      </w:r>
      <w:r w:rsidRPr="00D96D8F">
        <w:rPr>
          <w:rFonts w:ascii="Verdana" w:hAnsi="Verdana"/>
          <w:sz w:val="20"/>
          <w:szCs w:val="20"/>
        </w:rPr>
        <w:t xml:space="preserve">Nowe przepisy dotyczące zmian umów powinno stosować się zarówno do </w:t>
      </w:r>
      <w:r>
        <w:rPr>
          <w:rFonts w:ascii="Verdana" w:hAnsi="Verdana"/>
          <w:sz w:val="20"/>
          <w:szCs w:val="20"/>
        </w:rPr>
        <w:t xml:space="preserve">zmian </w:t>
      </w:r>
      <w:r w:rsidRPr="00D96D8F">
        <w:rPr>
          <w:rFonts w:ascii="Verdana" w:hAnsi="Verdana"/>
          <w:sz w:val="20"/>
          <w:szCs w:val="20"/>
        </w:rPr>
        <w:t xml:space="preserve">umów zawartych przed dniem wejścia w życia ustawy jak też do </w:t>
      </w:r>
      <w:r>
        <w:rPr>
          <w:rFonts w:ascii="Verdana" w:hAnsi="Verdana"/>
          <w:sz w:val="20"/>
          <w:szCs w:val="20"/>
        </w:rPr>
        <w:t xml:space="preserve">zmian </w:t>
      </w:r>
      <w:r w:rsidRPr="00D96D8F">
        <w:rPr>
          <w:rFonts w:ascii="Verdana" w:hAnsi="Verdana"/>
          <w:sz w:val="20"/>
          <w:szCs w:val="20"/>
        </w:rPr>
        <w:t xml:space="preserve">umów zawartych w wyniku postępowań wszczętych przed dniem wejścia w życie ustawy. </w:t>
      </w:r>
      <w:r>
        <w:rPr>
          <w:rFonts w:ascii="Verdana" w:hAnsi="Verdana"/>
          <w:sz w:val="20"/>
          <w:szCs w:val="20"/>
        </w:rPr>
        <w:t xml:space="preserve">Obecne brzmienie art. 14 powoduje nieuzasadnione rozróżnienie i brak możliwości </w:t>
      </w:r>
      <w:r w:rsidRPr="00E20BE9">
        <w:rPr>
          <w:rFonts w:ascii="Verdana" w:hAnsi="Verdana"/>
          <w:sz w:val="20"/>
          <w:szCs w:val="20"/>
        </w:rPr>
        <w:t xml:space="preserve">udzielania zamówień uzupełniających </w:t>
      </w:r>
      <w:r>
        <w:rPr>
          <w:rFonts w:ascii="Verdana" w:hAnsi="Verdana"/>
          <w:sz w:val="20"/>
          <w:szCs w:val="20"/>
        </w:rPr>
        <w:t xml:space="preserve">i dodatkowych </w:t>
      </w:r>
      <w:r w:rsidRPr="00E20BE9">
        <w:rPr>
          <w:rFonts w:ascii="Verdana" w:hAnsi="Verdana"/>
          <w:sz w:val="20"/>
          <w:szCs w:val="20"/>
        </w:rPr>
        <w:t>w stosunku do</w:t>
      </w:r>
      <w:r>
        <w:rPr>
          <w:rFonts w:ascii="Verdana" w:hAnsi="Verdana"/>
          <w:sz w:val="20"/>
          <w:szCs w:val="20"/>
        </w:rPr>
        <w:t xml:space="preserve"> wcześniej udzielonych zamówień.</w:t>
      </w:r>
      <w:r w:rsidRPr="00E20BE9">
        <w:rPr>
          <w:rFonts w:ascii="Verdana" w:hAnsi="Verdana"/>
          <w:sz w:val="20"/>
          <w:szCs w:val="20"/>
        </w:rPr>
        <w:t xml:space="preserve"> Tym samym prowadzi to do sytuacji, w której strony umowy w pewnych sytuacjach nie będą mogły wykonać obowiązków, a także skorzystać z uprawnień i rozwiązań, jakie zostały ukształtowane zgodną wolą stron przy zawarciu umowy. Dlatego zasadnym wydaje się objęcie także tych umów nowymi przepisami odnoszącymi się do modyfikacji umów;</w:t>
      </w:r>
    </w:p>
    <w:p w:rsidR="00FB7A68" w:rsidRPr="002E503E" w:rsidRDefault="00FB7A68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053AA2" w:rsidRPr="00FB7A68" w:rsidRDefault="006657FE" w:rsidP="00FB7A68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B7A68">
        <w:rPr>
          <w:rFonts w:ascii="Verdana" w:hAnsi="Verdana"/>
          <w:b/>
          <w:sz w:val="20"/>
          <w:szCs w:val="20"/>
        </w:rPr>
        <w:t>ROZPORZĄDZENIE WS RODZAJU DOKUMENTÓW</w:t>
      </w:r>
    </w:p>
    <w:p w:rsidR="00CF65FF" w:rsidRPr="00CF65FF" w:rsidRDefault="00CF65FF" w:rsidP="00CF65FF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CF65FF">
        <w:rPr>
          <w:rFonts w:ascii="Verdana" w:hAnsi="Verdana"/>
          <w:sz w:val="20"/>
          <w:szCs w:val="20"/>
        </w:rPr>
        <w:t>Podsumowanie uwag poszczególnych organizacji w obszarze „Rozporządzenie ws rodzaju dokumentów</w:t>
      </w:r>
      <w:r>
        <w:rPr>
          <w:rFonts w:ascii="Verdana" w:hAnsi="Verdana"/>
          <w:sz w:val="20"/>
          <w:szCs w:val="20"/>
        </w:rPr>
        <w:t>”.</w:t>
      </w:r>
    </w:p>
    <w:p w:rsidR="00053AA2" w:rsidRPr="002E503E" w:rsidRDefault="00053AA2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E503E">
        <w:rPr>
          <w:rFonts w:ascii="Verdana" w:hAnsi="Verdana"/>
          <w:b/>
          <w:sz w:val="20"/>
          <w:szCs w:val="20"/>
        </w:rPr>
        <w:t xml:space="preserve">Uwagi przepisy przejściowe art. </w:t>
      </w:r>
      <w:r w:rsidR="00291320" w:rsidRPr="002E503E">
        <w:rPr>
          <w:rFonts w:ascii="Verdana" w:hAnsi="Verdana"/>
          <w:b/>
          <w:sz w:val="20"/>
          <w:szCs w:val="20"/>
        </w:rPr>
        <w:t>8</w:t>
      </w:r>
      <w:r w:rsidR="00931FC2">
        <w:rPr>
          <w:rFonts w:ascii="Verdana" w:hAnsi="Verdana"/>
          <w:b/>
          <w:sz w:val="20"/>
          <w:szCs w:val="20"/>
        </w:rPr>
        <w:t xml:space="preserve"> – obecnie art. 10</w:t>
      </w:r>
    </w:p>
    <w:p w:rsidR="00053AA2" w:rsidRPr="002E503E" w:rsidRDefault="00053AA2" w:rsidP="0089712B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pozostawienie w mocy rozporządzenia spowoduje wiele komplikacji, w związku z niezgodnością rozporządzenia z projektowanymi zmianami, np. odwołania do nieaktualnych przepisów jak i rozbieżności w nazewnictwie i zakresie dokumentów, związane  z uwagami do art. 24 </w:t>
      </w:r>
      <w:r w:rsidR="00291320" w:rsidRPr="002E503E">
        <w:rPr>
          <w:rFonts w:ascii="Verdana" w:hAnsi="Verdana"/>
          <w:sz w:val="20"/>
          <w:szCs w:val="20"/>
        </w:rPr>
        <w:t>–</w:t>
      </w:r>
      <w:r w:rsidRPr="002E503E">
        <w:rPr>
          <w:rFonts w:ascii="Verdana" w:hAnsi="Verdana"/>
          <w:sz w:val="20"/>
          <w:szCs w:val="20"/>
        </w:rPr>
        <w:t xml:space="preserve"> GDDKIA</w:t>
      </w:r>
      <w:r w:rsidR="00205913">
        <w:rPr>
          <w:rFonts w:ascii="Verdana" w:hAnsi="Verdana"/>
          <w:sz w:val="20"/>
          <w:szCs w:val="20"/>
        </w:rPr>
        <w:t>, OIGD</w:t>
      </w:r>
    </w:p>
    <w:p w:rsidR="00291320" w:rsidRPr="002E503E" w:rsidRDefault="00291320" w:rsidP="0089712B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E503E">
        <w:rPr>
          <w:rFonts w:ascii="Verdana" w:hAnsi="Verdana"/>
          <w:b/>
          <w:sz w:val="20"/>
          <w:szCs w:val="20"/>
          <w:u w:val="single"/>
        </w:rPr>
        <w:t>Rekomendacja Grupy P</w:t>
      </w:r>
      <w:r w:rsidR="00931FC2">
        <w:rPr>
          <w:rFonts w:ascii="Verdana" w:hAnsi="Verdana"/>
          <w:b/>
          <w:sz w:val="20"/>
          <w:szCs w:val="20"/>
          <w:u w:val="single"/>
        </w:rPr>
        <w:t>ZP – przepisy przejściowe art. 10</w:t>
      </w:r>
    </w:p>
    <w:p w:rsidR="00291320" w:rsidRPr="00DB1A86" w:rsidRDefault="00205913" w:rsidP="0089712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27E6A">
        <w:rPr>
          <w:rFonts w:ascii="Verdana" w:hAnsi="Verdana"/>
          <w:i/>
          <w:sz w:val="20"/>
          <w:szCs w:val="20"/>
        </w:rPr>
        <w:t xml:space="preserve">Stanowisko </w:t>
      </w:r>
      <w:r>
        <w:rPr>
          <w:rFonts w:ascii="Verdana" w:hAnsi="Verdana"/>
          <w:sz w:val="20"/>
          <w:szCs w:val="20"/>
        </w:rPr>
        <w:t xml:space="preserve">Grupy PZP pozostaje aktualne. </w:t>
      </w:r>
      <w:r w:rsidR="00464577" w:rsidRPr="002E503E">
        <w:rPr>
          <w:rFonts w:ascii="Verdana" w:hAnsi="Verdana"/>
          <w:sz w:val="20"/>
          <w:szCs w:val="20"/>
        </w:rPr>
        <w:t>Grupa robocza PZP</w:t>
      </w:r>
      <w:r w:rsidR="00464577">
        <w:rPr>
          <w:rFonts w:ascii="Verdana" w:hAnsi="Verdana"/>
          <w:sz w:val="20"/>
          <w:szCs w:val="20"/>
        </w:rPr>
        <w:t xml:space="preserve"> rekomenduje opracowanie </w:t>
      </w:r>
      <w:r w:rsidR="00464577" w:rsidRPr="00DB1A86">
        <w:rPr>
          <w:rFonts w:ascii="Verdana" w:hAnsi="Verdana"/>
          <w:sz w:val="20"/>
          <w:szCs w:val="20"/>
        </w:rPr>
        <w:t>nowego rozporządzenia ws rodzaju dokumentów dostosowanego do nowego brzmienia</w:t>
      </w:r>
      <w:r w:rsidRPr="00DB1A86">
        <w:rPr>
          <w:rFonts w:ascii="Verdana" w:hAnsi="Verdana"/>
          <w:sz w:val="20"/>
          <w:szCs w:val="20"/>
        </w:rPr>
        <w:t xml:space="preserve"> przepisów, spójnego z treścią Jednolitego E</w:t>
      </w:r>
      <w:r w:rsidR="00464577" w:rsidRPr="00DB1A86">
        <w:rPr>
          <w:rFonts w:ascii="Verdana" w:hAnsi="Verdana"/>
          <w:sz w:val="20"/>
          <w:szCs w:val="20"/>
        </w:rPr>
        <w:t>uropejskiego Dokumentu Zamówienia.</w:t>
      </w:r>
    </w:p>
    <w:p w:rsidR="00A92757" w:rsidRDefault="00A9275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09045A" w:rsidRPr="00AD5AE0" w:rsidRDefault="0009045A" w:rsidP="00AD5AE0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AD5AE0">
        <w:rPr>
          <w:rFonts w:ascii="Verdana" w:hAnsi="Verdana"/>
          <w:b/>
          <w:sz w:val="20"/>
          <w:szCs w:val="20"/>
        </w:rPr>
        <w:lastRenderedPageBreak/>
        <w:t>Uwagi odnoszące się do nowego brzmienia projektowanych przepisów lub nowo stworzonych przepisów, niezgłaszane przez Grupę PZP w toku prac nad poprzednim projektem nowelizacji ustawy pzp.</w:t>
      </w:r>
    </w:p>
    <w:p w:rsidR="00DB1A86" w:rsidRDefault="00DB1A86" w:rsidP="00A94E5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B1A86">
        <w:rPr>
          <w:rFonts w:ascii="Verdana" w:hAnsi="Verdana"/>
          <w:sz w:val="20"/>
          <w:szCs w:val="20"/>
        </w:rPr>
        <w:t xml:space="preserve">Do dnia 29.02.2016 r. członkowie Grupy roboczej PZP zgłosili dodatkowo uwagi związane z nowymi przepisami (których nie było w pierwszej wersji projektu nowelizacji). Uwagi te zostały przeanalizowane pod kątem </w:t>
      </w:r>
      <w:r>
        <w:rPr>
          <w:rFonts w:ascii="Verdana" w:hAnsi="Verdana"/>
          <w:sz w:val="20"/>
          <w:szCs w:val="20"/>
        </w:rPr>
        <w:t>takich samych kryteriów oceny jak uwagi zgłoszone do pierwszej wersji projektu nowelizacji, tj.:</w:t>
      </w:r>
    </w:p>
    <w:p w:rsidR="00DB1A86" w:rsidRPr="00DB1A86" w:rsidRDefault="00DB1A86" w:rsidP="00DB1A86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B1A86">
        <w:rPr>
          <w:rFonts w:ascii="Verdana" w:hAnsi="Verdana"/>
          <w:sz w:val="20"/>
          <w:szCs w:val="20"/>
        </w:rPr>
        <w:t>priorytety dla</w:t>
      </w:r>
      <w:r>
        <w:rPr>
          <w:rFonts w:ascii="Verdana" w:hAnsi="Verdana"/>
          <w:sz w:val="20"/>
          <w:szCs w:val="20"/>
        </w:rPr>
        <w:t xml:space="preserve"> obecnej nowelizacji ustawy PZP,</w:t>
      </w:r>
    </w:p>
    <w:p w:rsidR="00DB1A86" w:rsidRPr="00DB1A86" w:rsidRDefault="00DB1A86" w:rsidP="00DB1A86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B1A86">
        <w:rPr>
          <w:rFonts w:ascii="Verdana" w:hAnsi="Verdana"/>
          <w:sz w:val="20"/>
          <w:szCs w:val="20"/>
        </w:rPr>
        <w:t>priorytety dla przyszłej nowelizacji ustawy PZP lub nowej ustawy</w:t>
      </w:r>
      <w:r>
        <w:rPr>
          <w:rFonts w:ascii="Verdana" w:hAnsi="Verdana"/>
          <w:sz w:val="20"/>
          <w:szCs w:val="20"/>
        </w:rPr>
        <w:t>,</w:t>
      </w:r>
    </w:p>
    <w:p w:rsidR="00DB1A86" w:rsidRPr="00DB1A86" w:rsidRDefault="00DB1A86" w:rsidP="00DB1A86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B1A86">
        <w:rPr>
          <w:rFonts w:ascii="Verdana" w:hAnsi="Verdana"/>
          <w:sz w:val="20"/>
          <w:szCs w:val="20"/>
        </w:rPr>
        <w:t>postulaty o charakterze praktycznym oraz postulaty o charakterze technicznym, bardziej szczegółowym (często uznane za słuszne)</w:t>
      </w:r>
      <w:r w:rsidR="00A92757">
        <w:rPr>
          <w:rFonts w:ascii="Verdana" w:hAnsi="Verdana"/>
          <w:sz w:val="20"/>
          <w:szCs w:val="20"/>
        </w:rPr>
        <w:t xml:space="preserve"> </w:t>
      </w:r>
      <w:r w:rsidRPr="00DB1A86">
        <w:rPr>
          <w:rFonts w:ascii="Verdana" w:hAnsi="Verdana"/>
          <w:sz w:val="20"/>
          <w:szCs w:val="20"/>
        </w:rPr>
        <w:t>uznane jako nie priorytetowe</w:t>
      </w:r>
      <w:r>
        <w:rPr>
          <w:rFonts w:ascii="Verdana" w:hAnsi="Verdana"/>
          <w:sz w:val="20"/>
          <w:szCs w:val="20"/>
        </w:rPr>
        <w:t>.</w:t>
      </w:r>
    </w:p>
    <w:p w:rsidR="0009045A" w:rsidRDefault="0005638B" w:rsidP="0009045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wyniku ww weryfikacji uwag jak wyżej, proponuje się dodanie w </w:t>
      </w:r>
      <w:r w:rsidRPr="0005638B">
        <w:rPr>
          <w:rFonts w:ascii="Verdana" w:hAnsi="Verdana"/>
          <w:i/>
          <w:sz w:val="20"/>
          <w:szCs w:val="20"/>
        </w:rPr>
        <w:t>Stanowisku nr 2</w:t>
      </w:r>
      <w:r>
        <w:rPr>
          <w:rFonts w:ascii="Verdana" w:hAnsi="Verdana"/>
          <w:sz w:val="20"/>
          <w:szCs w:val="20"/>
        </w:rPr>
        <w:t xml:space="preserve"> priorytetu nr 10 dotyczącego przesłanek rozwiązania umowy na podstawie art. 145</w:t>
      </w:r>
      <w:r w:rsidR="00EA4AA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ustawy pzp</w:t>
      </w:r>
    </w:p>
    <w:p w:rsidR="00AD5AE0" w:rsidRDefault="00AD5AE0" w:rsidP="00AD5AE0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ROZWIĄZANIE UMOWY</w:t>
      </w:r>
    </w:p>
    <w:p w:rsidR="00AD5AE0" w:rsidRPr="003F2963" w:rsidRDefault="00AD5AE0" w:rsidP="00AD5AE0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32568">
        <w:rPr>
          <w:rFonts w:ascii="Verdana" w:hAnsi="Verdana"/>
          <w:sz w:val="20"/>
          <w:szCs w:val="20"/>
        </w:rPr>
        <w:t xml:space="preserve">Podsumowanie uwag </w:t>
      </w:r>
      <w:r w:rsidRPr="003F2963">
        <w:rPr>
          <w:rFonts w:ascii="Verdana" w:hAnsi="Verdana"/>
          <w:sz w:val="20"/>
          <w:szCs w:val="20"/>
        </w:rPr>
        <w:t>poszczególnych organizacji w obszarze „Rozwiązanie umowy”</w:t>
      </w:r>
    </w:p>
    <w:p w:rsidR="00AD5AE0" w:rsidRPr="003F2963" w:rsidRDefault="00AD5AE0" w:rsidP="00AD5AE0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3F2963">
        <w:rPr>
          <w:rFonts w:ascii="Verdana" w:hAnsi="Verdana"/>
          <w:b/>
          <w:sz w:val="20"/>
          <w:szCs w:val="20"/>
        </w:rPr>
        <w:t xml:space="preserve">Uwagi art. </w:t>
      </w:r>
      <w:r w:rsidR="003F2963" w:rsidRPr="003F2963">
        <w:rPr>
          <w:rFonts w:ascii="Verdana" w:hAnsi="Verdana"/>
          <w:b/>
          <w:sz w:val="20"/>
          <w:szCs w:val="20"/>
        </w:rPr>
        <w:t>145a</w:t>
      </w:r>
    </w:p>
    <w:p w:rsidR="00AD5AE0" w:rsidRPr="003F2963" w:rsidRDefault="003F2963" w:rsidP="00AD5AE0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F2963">
        <w:rPr>
          <w:rFonts w:ascii="Verdana" w:hAnsi="Verdana" w:cs="Times New Roman"/>
          <w:sz w:val="20"/>
          <w:szCs w:val="20"/>
        </w:rPr>
        <w:t xml:space="preserve">Radykalnie zmieniono postanowienia w porównaniu do poprzedniego projektu. Jest to również rozbieżne z art. 73 Dyrektywy 24/2014, która przewiduje możliwość rozwiązania umowy po dokonaniu zmiany umowy, która to zmiana wymagałaby przeprowadzenia nowego postępowania. </w:t>
      </w:r>
      <w:r w:rsidR="00AD5AE0" w:rsidRPr="003F2963">
        <w:rPr>
          <w:rFonts w:ascii="Verdana" w:hAnsi="Verdana"/>
          <w:sz w:val="20"/>
          <w:szCs w:val="20"/>
        </w:rPr>
        <w:t>– GDDKiA, SIDIR, PZPB</w:t>
      </w:r>
    </w:p>
    <w:p w:rsidR="00A94E5D" w:rsidRPr="00A94E5D" w:rsidRDefault="00A94E5D" w:rsidP="00206438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A94E5D">
        <w:rPr>
          <w:rFonts w:ascii="Verdana" w:hAnsi="Verdana"/>
          <w:b/>
          <w:sz w:val="20"/>
          <w:szCs w:val="20"/>
          <w:u w:val="single"/>
        </w:rPr>
        <w:t>Rekomendacja Grupy PZP – art. 145a</w:t>
      </w:r>
    </w:p>
    <w:p w:rsidR="00A94E5D" w:rsidRPr="00A94E5D" w:rsidRDefault="00A94E5D" w:rsidP="00206438">
      <w:pPr>
        <w:spacing w:before="12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2E503E">
        <w:rPr>
          <w:rFonts w:ascii="Verdana" w:hAnsi="Verdana"/>
          <w:sz w:val="20"/>
          <w:szCs w:val="20"/>
        </w:rPr>
        <w:t xml:space="preserve">Zdaniem członków Grupy </w:t>
      </w:r>
      <w:r w:rsidRPr="00A94E5D">
        <w:rPr>
          <w:rFonts w:ascii="Verdana" w:hAnsi="Verdana" w:cs="Times New Roman"/>
          <w:sz w:val="20"/>
          <w:szCs w:val="20"/>
        </w:rPr>
        <w:t xml:space="preserve">zmieniono postanowienia </w:t>
      </w:r>
      <w:r>
        <w:rPr>
          <w:rFonts w:ascii="Verdana" w:hAnsi="Verdana" w:cs="Times New Roman"/>
          <w:sz w:val="20"/>
          <w:szCs w:val="20"/>
        </w:rPr>
        <w:t xml:space="preserve">art. 145a </w:t>
      </w:r>
      <w:r w:rsidRPr="00A94E5D">
        <w:rPr>
          <w:rFonts w:ascii="Verdana" w:hAnsi="Verdana" w:cs="Times New Roman"/>
          <w:sz w:val="20"/>
          <w:szCs w:val="20"/>
        </w:rPr>
        <w:t>w porównaniu do p</w:t>
      </w:r>
      <w:r>
        <w:rPr>
          <w:rFonts w:ascii="Verdana" w:hAnsi="Verdana" w:cs="Times New Roman"/>
          <w:sz w:val="20"/>
          <w:szCs w:val="20"/>
        </w:rPr>
        <w:t>ierwszego</w:t>
      </w:r>
      <w:r w:rsidRPr="00A94E5D">
        <w:rPr>
          <w:rFonts w:ascii="Verdana" w:hAnsi="Verdana" w:cs="Times New Roman"/>
          <w:sz w:val="20"/>
          <w:szCs w:val="20"/>
        </w:rPr>
        <w:t xml:space="preserve"> projektu</w:t>
      </w:r>
      <w:r>
        <w:rPr>
          <w:rFonts w:ascii="Verdana" w:hAnsi="Verdana" w:cs="Times New Roman"/>
          <w:sz w:val="20"/>
          <w:szCs w:val="20"/>
        </w:rPr>
        <w:t xml:space="preserve"> nowelizacji</w:t>
      </w:r>
      <w:r w:rsidRPr="00A94E5D">
        <w:rPr>
          <w:rFonts w:ascii="Verdana" w:hAnsi="Verdana" w:cs="Times New Roman"/>
          <w:sz w:val="20"/>
          <w:szCs w:val="20"/>
        </w:rPr>
        <w:t xml:space="preserve">. Jest to również rozbieżne z art. 73 Dyrektywy 24/2014, która przewiduje możliwość rozwiązania umowy po dokonaniu zmiany umowy, która to zmiana wymagałaby przeprowadzenia nowego postępowania. Proponowana nowelizacja dopuszcza rozwiązanie umowy jeżeli Zamawiający zamierza ją w sposób zasadniczy zmienić bez jakiejkolwiek możliwości weryfikacji, czy zmiana jest wynikiem błędów zamawiającego na etapie przygotowania inwestycji czy też obiektywnej zmiany okoliczności już na etapie realizacji. </w:t>
      </w:r>
      <w:r w:rsidR="00A90BAD">
        <w:rPr>
          <w:rFonts w:ascii="Verdana" w:hAnsi="Verdana" w:cs="Times New Roman"/>
          <w:sz w:val="20"/>
          <w:szCs w:val="20"/>
        </w:rPr>
        <w:t>Dodatkowo wprowadzono bardzo nieprecyzyjne, niejasne i trudne do zweryfikowania przesłanki rozwiązania umowy na tej podstawie – „</w:t>
      </w:r>
      <w:r w:rsidR="00A90BAD" w:rsidRPr="00B856EF">
        <w:rPr>
          <w:i/>
          <w:sz w:val="23"/>
          <w:szCs w:val="23"/>
        </w:rPr>
        <w:t xml:space="preserve">pozostawienie w mocy zawartej umowy pociągałoby za sobą </w:t>
      </w:r>
      <w:r w:rsidR="00A90BAD" w:rsidRPr="00B856EF">
        <w:rPr>
          <w:b/>
          <w:i/>
          <w:sz w:val="23"/>
          <w:szCs w:val="23"/>
        </w:rPr>
        <w:t>nadmierne niedogodności</w:t>
      </w:r>
      <w:r w:rsidR="00A90BAD">
        <w:rPr>
          <w:b/>
          <w:sz w:val="23"/>
          <w:szCs w:val="23"/>
        </w:rPr>
        <w:t>”.</w:t>
      </w:r>
      <w:r w:rsidR="00A90BAD">
        <w:rPr>
          <w:sz w:val="23"/>
          <w:szCs w:val="23"/>
        </w:rPr>
        <w:t xml:space="preserve"> </w:t>
      </w:r>
      <w:bookmarkStart w:id="0" w:name="_GoBack"/>
      <w:bookmarkEnd w:id="0"/>
      <w:r w:rsidRPr="00A94E5D">
        <w:rPr>
          <w:rFonts w:ascii="Verdana" w:hAnsi="Verdana" w:cs="Times New Roman"/>
          <w:sz w:val="20"/>
          <w:szCs w:val="20"/>
        </w:rPr>
        <w:t>Jest to niebezpieczna furtka do rozwiązywania umów, dla których źle zostało przygotowane postępowanie. Stanowi to zaprzeczenie idei Dyrektywy.</w:t>
      </w:r>
    </w:p>
    <w:p w:rsidR="00206438" w:rsidRPr="00D96D8F" w:rsidRDefault="00206438" w:rsidP="00206438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D96D8F">
        <w:rPr>
          <w:rFonts w:ascii="Verdana" w:hAnsi="Verdana"/>
          <w:sz w:val="20"/>
          <w:szCs w:val="20"/>
        </w:rPr>
        <w:t xml:space="preserve">roponuje się doprecyzowanie brzmienia przepisu w wersji z poprzedniego projektu </w:t>
      </w:r>
      <w:r>
        <w:rPr>
          <w:rFonts w:ascii="Verdana" w:hAnsi="Verdana"/>
          <w:sz w:val="20"/>
          <w:szCs w:val="20"/>
        </w:rPr>
        <w:t xml:space="preserve">nowelizacji </w:t>
      </w:r>
      <w:r w:rsidRPr="00D96D8F">
        <w:rPr>
          <w:rFonts w:ascii="Verdana" w:hAnsi="Verdana"/>
          <w:sz w:val="20"/>
          <w:szCs w:val="20"/>
        </w:rPr>
        <w:t xml:space="preserve">poprzez wskazanie, iż istotna zamiany umowy </w:t>
      </w:r>
      <w:r w:rsidRPr="00D96D8F">
        <w:rPr>
          <w:rFonts w:ascii="Verdana" w:hAnsi="Verdana"/>
          <w:sz w:val="20"/>
          <w:szCs w:val="20"/>
          <w:u w:val="single"/>
        </w:rPr>
        <w:t>nastąpiła</w:t>
      </w:r>
      <w:r w:rsidRPr="00D96D8F">
        <w:rPr>
          <w:rFonts w:ascii="Verdana" w:hAnsi="Verdana"/>
          <w:sz w:val="20"/>
          <w:szCs w:val="20"/>
        </w:rPr>
        <w:t xml:space="preserve"> z naruszeniem odpowiednich przepisów ustawy (art. 144). Powyższe rozwiązanie wydaje się lepiej oddawać cel art. 74 Dyrektywy.</w:t>
      </w:r>
    </w:p>
    <w:sectPr w:rsidR="00206438" w:rsidRPr="00D96D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B9" w:rsidRDefault="008960B9" w:rsidP="00B55FB6">
      <w:pPr>
        <w:spacing w:after="0" w:line="240" w:lineRule="auto"/>
      </w:pPr>
      <w:r>
        <w:separator/>
      </w:r>
    </w:p>
  </w:endnote>
  <w:endnote w:type="continuationSeparator" w:id="0">
    <w:p w:rsidR="008960B9" w:rsidRDefault="008960B9" w:rsidP="00B5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998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5FB6" w:rsidRDefault="00B55FB6" w:rsidP="00B55F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90B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90BA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B9" w:rsidRDefault="008960B9" w:rsidP="00B55FB6">
      <w:pPr>
        <w:spacing w:after="0" w:line="240" w:lineRule="auto"/>
      </w:pPr>
      <w:r>
        <w:separator/>
      </w:r>
    </w:p>
  </w:footnote>
  <w:footnote w:type="continuationSeparator" w:id="0">
    <w:p w:rsidR="008960B9" w:rsidRDefault="008960B9" w:rsidP="00B5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861"/>
    <w:multiLevelType w:val="hybridMultilevel"/>
    <w:tmpl w:val="80B4F280"/>
    <w:lvl w:ilvl="0" w:tplc="73223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3C02"/>
    <w:multiLevelType w:val="hybridMultilevel"/>
    <w:tmpl w:val="A36CD1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CA7"/>
    <w:multiLevelType w:val="hybridMultilevel"/>
    <w:tmpl w:val="F76EE4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A11"/>
    <w:multiLevelType w:val="hybridMultilevel"/>
    <w:tmpl w:val="0FF69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3D37"/>
    <w:multiLevelType w:val="hybridMultilevel"/>
    <w:tmpl w:val="470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2A9F"/>
    <w:multiLevelType w:val="hybridMultilevel"/>
    <w:tmpl w:val="093219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52458"/>
    <w:multiLevelType w:val="hybridMultilevel"/>
    <w:tmpl w:val="DE56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A44D6"/>
    <w:multiLevelType w:val="hybridMultilevel"/>
    <w:tmpl w:val="1F4E6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339C"/>
    <w:multiLevelType w:val="hybridMultilevel"/>
    <w:tmpl w:val="80222F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4CBD"/>
    <w:multiLevelType w:val="hybridMultilevel"/>
    <w:tmpl w:val="443034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5FEF"/>
    <w:multiLevelType w:val="hybridMultilevel"/>
    <w:tmpl w:val="4858B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1983"/>
    <w:multiLevelType w:val="hybridMultilevel"/>
    <w:tmpl w:val="DE56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11880"/>
    <w:multiLevelType w:val="hybridMultilevel"/>
    <w:tmpl w:val="87B2201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5543E78"/>
    <w:multiLevelType w:val="hybridMultilevel"/>
    <w:tmpl w:val="7F22AB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64288"/>
    <w:multiLevelType w:val="hybridMultilevel"/>
    <w:tmpl w:val="4EFC69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A5F1D"/>
    <w:multiLevelType w:val="hybridMultilevel"/>
    <w:tmpl w:val="32729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36409"/>
    <w:multiLevelType w:val="hybridMultilevel"/>
    <w:tmpl w:val="F230C5A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2C73701C"/>
    <w:multiLevelType w:val="hybridMultilevel"/>
    <w:tmpl w:val="9EE410BC"/>
    <w:lvl w:ilvl="0" w:tplc="73223D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039AE"/>
    <w:multiLevelType w:val="hybridMultilevel"/>
    <w:tmpl w:val="21786CB6"/>
    <w:lvl w:ilvl="0" w:tplc="04150009">
      <w:start w:val="1"/>
      <w:numFmt w:val="bullet"/>
      <w:lvlText w:val=""/>
      <w:lvlJc w:val="left"/>
      <w:pPr>
        <w:ind w:left="1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19" w15:restartNumberingAfterBreak="0">
    <w:nsid w:val="381F4BA2"/>
    <w:multiLevelType w:val="hybridMultilevel"/>
    <w:tmpl w:val="834A2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5E25"/>
    <w:multiLevelType w:val="hybridMultilevel"/>
    <w:tmpl w:val="470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42330"/>
    <w:multiLevelType w:val="hybridMultilevel"/>
    <w:tmpl w:val="532C32C4"/>
    <w:lvl w:ilvl="0" w:tplc="6EC4D9DA">
      <w:start w:val="1"/>
      <w:numFmt w:val="bullet"/>
      <w:lvlText w:val=""/>
      <w:lvlJc w:val="left"/>
      <w:pPr>
        <w:ind w:left="-2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2" w15:restartNumberingAfterBreak="0">
    <w:nsid w:val="424932B7"/>
    <w:multiLevelType w:val="hybridMultilevel"/>
    <w:tmpl w:val="B08A3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70371"/>
    <w:multiLevelType w:val="hybridMultilevel"/>
    <w:tmpl w:val="76F8691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559B6FA3"/>
    <w:multiLevelType w:val="hybridMultilevel"/>
    <w:tmpl w:val="3208E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443A1"/>
    <w:multiLevelType w:val="hybridMultilevel"/>
    <w:tmpl w:val="D9D8B1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52060"/>
    <w:multiLevelType w:val="hybridMultilevel"/>
    <w:tmpl w:val="18782788"/>
    <w:lvl w:ilvl="0" w:tplc="0415000D">
      <w:start w:val="1"/>
      <w:numFmt w:val="bullet"/>
      <w:lvlText w:val=""/>
      <w:lvlJc w:val="left"/>
      <w:pPr>
        <w:ind w:left="-2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7" w15:restartNumberingAfterBreak="0">
    <w:nsid w:val="57C267BC"/>
    <w:multiLevelType w:val="hybridMultilevel"/>
    <w:tmpl w:val="BC6A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32C02"/>
    <w:multiLevelType w:val="hybridMultilevel"/>
    <w:tmpl w:val="80B4F280"/>
    <w:lvl w:ilvl="0" w:tplc="73223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76888"/>
    <w:multiLevelType w:val="hybridMultilevel"/>
    <w:tmpl w:val="0E760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56A17"/>
    <w:multiLevelType w:val="hybridMultilevel"/>
    <w:tmpl w:val="92B22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47F01"/>
    <w:multiLevelType w:val="hybridMultilevel"/>
    <w:tmpl w:val="470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62DC9"/>
    <w:multiLevelType w:val="hybridMultilevel"/>
    <w:tmpl w:val="42F0764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3" w15:restartNumberingAfterBreak="0">
    <w:nsid w:val="750E756A"/>
    <w:multiLevelType w:val="hybridMultilevel"/>
    <w:tmpl w:val="6E3A1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B294C"/>
    <w:multiLevelType w:val="hybridMultilevel"/>
    <w:tmpl w:val="0C94F8E8"/>
    <w:lvl w:ilvl="0" w:tplc="04150001">
      <w:start w:val="1"/>
      <w:numFmt w:val="bullet"/>
      <w:lvlText w:val=""/>
      <w:lvlJc w:val="left"/>
      <w:pPr>
        <w:ind w:left="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35" w15:restartNumberingAfterBreak="0">
    <w:nsid w:val="75A50387"/>
    <w:multiLevelType w:val="hybridMultilevel"/>
    <w:tmpl w:val="80B4F280"/>
    <w:lvl w:ilvl="0" w:tplc="73223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A1756"/>
    <w:multiLevelType w:val="hybridMultilevel"/>
    <w:tmpl w:val="0AFE14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A5B67"/>
    <w:multiLevelType w:val="hybridMultilevel"/>
    <w:tmpl w:val="80222F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E5CBE"/>
    <w:multiLevelType w:val="hybridMultilevel"/>
    <w:tmpl w:val="7288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6"/>
  </w:num>
  <w:num w:numId="4">
    <w:abstractNumId w:val="26"/>
  </w:num>
  <w:num w:numId="5">
    <w:abstractNumId w:val="9"/>
  </w:num>
  <w:num w:numId="6">
    <w:abstractNumId w:val="21"/>
  </w:num>
  <w:num w:numId="7">
    <w:abstractNumId w:val="18"/>
  </w:num>
  <w:num w:numId="8">
    <w:abstractNumId w:val="34"/>
  </w:num>
  <w:num w:numId="9">
    <w:abstractNumId w:val="12"/>
  </w:num>
  <w:num w:numId="10">
    <w:abstractNumId w:val="35"/>
  </w:num>
  <w:num w:numId="11">
    <w:abstractNumId w:val="17"/>
  </w:num>
  <w:num w:numId="12">
    <w:abstractNumId w:val="0"/>
  </w:num>
  <w:num w:numId="13">
    <w:abstractNumId w:val="28"/>
  </w:num>
  <w:num w:numId="14">
    <w:abstractNumId w:val="31"/>
  </w:num>
  <w:num w:numId="15">
    <w:abstractNumId w:val="27"/>
  </w:num>
  <w:num w:numId="16">
    <w:abstractNumId w:val="6"/>
  </w:num>
  <w:num w:numId="17">
    <w:abstractNumId w:val="14"/>
  </w:num>
  <w:num w:numId="18">
    <w:abstractNumId w:val="33"/>
  </w:num>
  <w:num w:numId="19">
    <w:abstractNumId w:val="1"/>
  </w:num>
  <w:num w:numId="20">
    <w:abstractNumId w:val="13"/>
  </w:num>
  <w:num w:numId="21">
    <w:abstractNumId w:val="36"/>
  </w:num>
  <w:num w:numId="22">
    <w:abstractNumId w:val="29"/>
  </w:num>
  <w:num w:numId="23">
    <w:abstractNumId w:val="3"/>
  </w:num>
  <w:num w:numId="24">
    <w:abstractNumId w:val="22"/>
  </w:num>
  <w:num w:numId="25">
    <w:abstractNumId w:val="7"/>
  </w:num>
  <w:num w:numId="26">
    <w:abstractNumId w:val="2"/>
  </w:num>
  <w:num w:numId="27">
    <w:abstractNumId w:val="25"/>
  </w:num>
  <w:num w:numId="28">
    <w:abstractNumId w:val="38"/>
  </w:num>
  <w:num w:numId="29">
    <w:abstractNumId w:val="19"/>
  </w:num>
  <w:num w:numId="30">
    <w:abstractNumId w:val="5"/>
  </w:num>
  <w:num w:numId="31">
    <w:abstractNumId w:val="11"/>
  </w:num>
  <w:num w:numId="32">
    <w:abstractNumId w:val="15"/>
  </w:num>
  <w:num w:numId="33">
    <w:abstractNumId w:val="37"/>
  </w:num>
  <w:num w:numId="34">
    <w:abstractNumId w:val="4"/>
  </w:num>
  <w:num w:numId="35">
    <w:abstractNumId w:val="20"/>
  </w:num>
  <w:num w:numId="36">
    <w:abstractNumId w:val="30"/>
  </w:num>
  <w:num w:numId="37">
    <w:abstractNumId w:val="24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05"/>
    <w:rsid w:val="0000594F"/>
    <w:rsid w:val="000100D0"/>
    <w:rsid w:val="00022D21"/>
    <w:rsid w:val="00033EFA"/>
    <w:rsid w:val="0003779D"/>
    <w:rsid w:val="000433E1"/>
    <w:rsid w:val="00053AA2"/>
    <w:rsid w:val="0005638B"/>
    <w:rsid w:val="00080E04"/>
    <w:rsid w:val="0009045A"/>
    <w:rsid w:val="000979E1"/>
    <w:rsid w:val="000A044B"/>
    <w:rsid w:val="000B65E8"/>
    <w:rsid w:val="000F0A93"/>
    <w:rsid w:val="000F7E52"/>
    <w:rsid w:val="0010540D"/>
    <w:rsid w:val="00115BB7"/>
    <w:rsid w:val="00116C2C"/>
    <w:rsid w:val="0013052D"/>
    <w:rsid w:val="0014555D"/>
    <w:rsid w:val="00146F13"/>
    <w:rsid w:val="00154420"/>
    <w:rsid w:val="00160C2D"/>
    <w:rsid w:val="00175A5F"/>
    <w:rsid w:val="0018376E"/>
    <w:rsid w:val="00185FDE"/>
    <w:rsid w:val="0019163B"/>
    <w:rsid w:val="001D6C37"/>
    <w:rsid w:val="001E13E0"/>
    <w:rsid w:val="001E6E31"/>
    <w:rsid w:val="001F2D40"/>
    <w:rsid w:val="00205913"/>
    <w:rsid w:val="00206438"/>
    <w:rsid w:val="002233E7"/>
    <w:rsid w:val="0022692B"/>
    <w:rsid w:val="002374CD"/>
    <w:rsid w:val="00244627"/>
    <w:rsid w:val="002510EF"/>
    <w:rsid w:val="002627E6"/>
    <w:rsid w:val="0027202E"/>
    <w:rsid w:val="00291320"/>
    <w:rsid w:val="0029742C"/>
    <w:rsid w:val="002B03DC"/>
    <w:rsid w:val="002D2CFC"/>
    <w:rsid w:val="002E503E"/>
    <w:rsid w:val="003066A1"/>
    <w:rsid w:val="00311C73"/>
    <w:rsid w:val="0031219F"/>
    <w:rsid w:val="00313A15"/>
    <w:rsid w:val="003158CE"/>
    <w:rsid w:val="00337612"/>
    <w:rsid w:val="00346054"/>
    <w:rsid w:val="00346367"/>
    <w:rsid w:val="00374235"/>
    <w:rsid w:val="00382505"/>
    <w:rsid w:val="003A4C0D"/>
    <w:rsid w:val="003D36AA"/>
    <w:rsid w:val="003D3EC6"/>
    <w:rsid w:val="003E1F0D"/>
    <w:rsid w:val="003F2963"/>
    <w:rsid w:val="003F3DAD"/>
    <w:rsid w:val="00403566"/>
    <w:rsid w:val="00420BAC"/>
    <w:rsid w:val="00425CDF"/>
    <w:rsid w:val="00435FA4"/>
    <w:rsid w:val="0045030E"/>
    <w:rsid w:val="00454144"/>
    <w:rsid w:val="00454FEB"/>
    <w:rsid w:val="00455B79"/>
    <w:rsid w:val="00464577"/>
    <w:rsid w:val="00484049"/>
    <w:rsid w:val="00486C90"/>
    <w:rsid w:val="004A4F80"/>
    <w:rsid w:val="004A7900"/>
    <w:rsid w:val="004B14D3"/>
    <w:rsid w:val="004E02DC"/>
    <w:rsid w:val="005007DE"/>
    <w:rsid w:val="005341F1"/>
    <w:rsid w:val="00571933"/>
    <w:rsid w:val="00593373"/>
    <w:rsid w:val="005A2394"/>
    <w:rsid w:val="005A51B9"/>
    <w:rsid w:val="005B0728"/>
    <w:rsid w:val="005B23C2"/>
    <w:rsid w:val="005C24FE"/>
    <w:rsid w:val="005C33E8"/>
    <w:rsid w:val="005D5258"/>
    <w:rsid w:val="005E048D"/>
    <w:rsid w:val="005E0E9E"/>
    <w:rsid w:val="005F39F2"/>
    <w:rsid w:val="005F74F9"/>
    <w:rsid w:val="00602AFB"/>
    <w:rsid w:val="00604C74"/>
    <w:rsid w:val="00615D56"/>
    <w:rsid w:val="0062330E"/>
    <w:rsid w:val="00630077"/>
    <w:rsid w:val="00632568"/>
    <w:rsid w:val="0066481A"/>
    <w:rsid w:val="00664DBC"/>
    <w:rsid w:val="006657FE"/>
    <w:rsid w:val="00677B41"/>
    <w:rsid w:val="00680D34"/>
    <w:rsid w:val="006B30EA"/>
    <w:rsid w:val="006C67BB"/>
    <w:rsid w:val="006D2222"/>
    <w:rsid w:val="00724155"/>
    <w:rsid w:val="00730D51"/>
    <w:rsid w:val="00744ACB"/>
    <w:rsid w:val="0075169D"/>
    <w:rsid w:val="0077052C"/>
    <w:rsid w:val="0077596E"/>
    <w:rsid w:val="007842D9"/>
    <w:rsid w:val="007A3FDF"/>
    <w:rsid w:val="007B7FF8"/>
    <w:rsid w:val="007C014E"/>
    <w:rsid w:val="007C466E"/>
    <w:rsid w:val="007D3A17"/>
    <w:rsid w:val="0083712E"/>
    <w:rsid w:val="00842BAB"/>
    <w:rsid w:val="008438CA"/>
    <w:rsid w:val="00857D0A"/>
    <w:rsid w:val="00870843"/>
    <w:rsid w:val="008715D5"/>
    <w:rsid w:val="00877DC5"/>
    <w:rsid w:val="00885AB7"/>
    <w:rsid w:val="008871AA"/>
    <w:rsid w:val="008919BA"/>
    <w:rsid w:val="008960B9"/>
    <w:rsid w:val="008969B7"/>
    <w:rsid w:val="0089712B"/>
    <w:rsid w:val="008A6CEB"/>
    <w:rsid w:val="008F1147"/>
    <w:rsid w:val="009039DA"/>
    <w:rsid w:val="00903EC8"/>
    <w:rsid w:val="00931FC2"/>
    <w:rsid w:val="009367BF"/>
    <w:rsid w:val="009511E1"/>
    <w:rsid w:val="0098288C"/>
    <w:rsid w:val="009958E0"/>
    <w:rsid w:val="009B7757"/>
    <w:rsid w:val="009C75E0"/>
    <w:rsid w:val="009F51E6"/>
    <w:rsid w:val="00A137BA"/>
    <w:rsid w:val="00A13E09"/>
    <w:rsid w:val="00A3799A"/>
    <w:rsid w:val="00A47487"/>
    <w:rsid w:val="00A605B9"/>
    <w:rsid w:val="00A6727D"/>
    <w:rsid w:val="00A77E64"/>
    <w:rsid w:val="00A90BAD"/>
    <w:rsid w:val="00A92757"/>
    <w:rsid w:val="00A94E5D"/>
    <w:rsid w:val="00AA3C21"/>
    <w:rsid w:val="00AA6C9E"/>
    <w:rsid w:val="00AD2C79"/>
    <w:rsid w:val="00AD5AE0"/>
    <w:rsid w:val="00AF3175"/>
    <w:rsid w:val="00AF32A1"/>
    <w:rsid w:val="00B27CC8"/>
    <w:rsid w:val="00B3030B"/>
    <w:rsid w:val="00B30977"/>
    <w:rsid w:val="00B4223D"/>
    <w:rsid w:val="00B46366"/>
    <w:rsid w:val="00B55FB6"/>
    <w:rsid w:val="00BA5AF1"/>
    <w:rsid w:val="00BB7F05"/>
    <w:rsid w:val="00BC04D9"/>
    <w:rsid w:val="00BC66DB"/>
    <w:rsid w:val="00BD31A6"/>
    <w:rsid w:val="00BF0E72"/>
    <w:rsid w:val="00C036B3"/>
    <w:rsid w:val="00C04D0C"/>
    <w:rsid w:val="00C239F9"/>
    <w:rsid w:val="00C27094"/>
    <w:rsid w:val="00C312BA"/>
    <w:rsid w:val="00C31813"/>
    <w:rsid w:val="00C639D2"/>
    <w:rsid w:val="00C747BF"/>
    <w:rsid w:val="00C92A53"/>
    <w:rsid w:val="00C964E0"/>
    <w:rsid w:val="00C97074"/>
    <w:rsid w:val="00C97380"/>
    <w:rsid w:val="00C97D4E"/>
    <w:rsid w:val="00CA2DB3"/>
    <w:rsid w:val="00CB425F"/>
    <w:rsid w:val="00CC6DF9"/>
    <w:rsid w:val="00CF65FF"/>
    <w:rsid w:val="00D066FD"/>
    <w:rsid w:val="00D21C31"/>
    <w:rsid w:val="00D27E6A"/>
    <w:rsid w:val="00D5744F"/>
    <w:rsid w:val="00D83F1F"/>
    <w:rsid w:val="00D92DF4"/>
    <w:rsid w:val="00DB1A86"/>
    <w:rsid w:val="00DB2F25"/>
    <w:rsid w:val="00DB5DF7"/>
    <w:rsid w:val="00DB6857"/>
    <w:rsid w:val="00DD2859"/>
    <w:rsid w:val="00DD6F42"/>
    <w:rsid w:val="00E16C22"/>
    <w:rsid w:val="00E34DB0"/>
    <w:rsid w:val="00E42758"/>
    <w:rsid w:val="00E5008A"/>
    <w:rsid w:val="00E52EDF"/>
    <w:rsid w:val="00E73417"/>
    <w:rsid w:val="00E866A8"/>
    <w:rsid w:val="00EA4AAD"/>
    <w:rsid w:val="00EA54D3"/>
    <w:rsid w:val="00EC0890"/>
    <w:rsid w:val="00EE2924"/>
    <w:rsid w:val="00EE7C59"/>
    <w:rsid w:val="00EF1CD2"/>
    <w:rsid w:val="00EF4CAC"/>
    <w:rsid w:val="00F0623C"/>
    <w:rsid w:val="00F07348"/>
    <w:rsid w:val="00F263D0"/>
    <w:rsid w:val="00F37A97"/>
    <w:rsid w:val="00F77DEA"/>
    <w:rsid w:val="00F96F35"/>
    <w:rsid w:val="00FB7A68"/>
    <w:rsid w:val="00FB7D40"/>
    <w:rsid w:val="00FF34F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BF1C-ED95-432F-B9A9-09D3465D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175A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160C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511E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4F9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F74F9"/>
    <w:rPr>
      <w:rFonts w:ascii="Cambria" w:eastAsia="MS Mincho" w:hAnsi="Cambria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5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C1E0-54EE-4565-87FE-7B85F5E1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2295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Lorens Katarzyna</dc:creator>
  <cp:lastModifiedBy>Kornas Izabela</cp:lastModifiedBy>
  <cp:revision>201</cp:revision>
  <cp:lastPrinted>2015-10-19T09:32:00Z</cp:lastPrinted>
  <dcterms:created xsi:type="dcterms:W3CDTF">2015-06-16T06:23:00Z</dcterms:created>
  <dcterms:modified xsi:type="dcterms:W3CDTF">2016-03-01T09:41:00Z</dcterms:modified>
</cp:coreProperties>
</file>